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lgerian" w:hAnsi="Algerian" w:cs="Times New Roman"/>
          <w:b/>
          <w:color w:val="auto"/>
          <w:sz w:val="24"/>
          <w:szCs w:val="24"/>
          <w:highlight w:val="none"/>
          <w:lang w:val="en-US"/>
        </w:rPr>
      </w:pPr>
      <w:r>
        <w:rPr>
          <w:rFonts w:ascii="Algerian" w:hAnsi="Algerian" w:cs="Times New Roman"/>
          <w:b/>
          <w:color w:val="auto"/>
          <w:sz w:val="24"/>
          <w:szCs w:val="24"/>
          <w:highlight w:val="none"/>
          <w:lang w:val="en-US"/>
        </w:rPr>
        <w:drawing>
          <wp:inline distT="0" distB="0" distL="0" distR="0">
            <wp:extent cx="6845935" cy="8319770"/>
            <wp:effectExtent l="0" t="0" r="0" b="5080"/>
            <wp:docPr id="8" name="Picture 8" descr="C:\Users\Frederick Antwi\Documents\Scan\Scan_20221108_183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Frederick Antwi\Documents\Scan\Scan_20221108_18381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853256" cy="8329182"/>
                    </a:xfrm>
                    <a:prstGeom prst="rect">
                      <a:avLst/>
                    </a:prstGeom>
                    <a:noFill/>
                    <a:ln>
                      <a:noFill/>
                    </a:ln>
                  </pic:spPr>
                </pic:pic>
              </a:graphicData>
            </a:graphic>
          </wp:inline>
        </w:drawing>
      </w:r>
    </w:p>
    <w:p>
      <w:pPr>
        <w:jc w:val="center"/>
        <w:rPr>
          <w:rFonts w:ascii="Algerian" w:hAnsi="Algerian" w:cs="Times New Roman"/>
          <w:b/>
          <w:color w:val="auto"/>
          <w:sz w:val="40"/>
          <w:szCs w:val="40"/>
          <w:highlight w:val="none"/>
          <w:lang w:val="en-US"/>
        </w:rPr>
      </w:pPr>
      <w:r>
        <w:rPr>
          <w:rFonts w:ascii="Algerian" w:hAnsi="Algerian" w:cs="Times New Roman"/>
          <w:b/>
          <w:color w:val="auto"/>
          <w:sz w:val="40"/>
          <w:szCs w:val="40"/>
          <w:highlight w:val="none"/>
          <w:lang w:val="en-US"/>
        </w:rPr>
        <w:tab/>
      </w:r>
      <w:r>
        <w:rPr>
          <w:rFonts w:ascii="Algerian" w:hAnsi="Algerian" w:cs="Times New Roman"/>
          <w:b/>
          <w:color w:val="auto"/>
          <w:sz w:val="40"/>
          <w:szCs w:val="40"/>
          <w:highlight w:val="none"/>
          <w:lang w:val="en-US"/>
        </w:rPr>
        <w:t>Republic of ghana</w:t>
      </w:r>
    </w:p>
    <w:p>
      <w:pPr>
        <w:jc w:val="center"/>
        <w:rPr>
          <w:rFonts w:ascii="Times New Roman" w:hAnsi="Times New Roman" w:cs="Times New Roman"/>
          <w:b/>
          <w:color w:val="auto"/>
          <w:sz w:val="40"/>
          <w:szCs w:val="40"/>
          <w:highlight w:val="none"/>
          <w:lang w:val="en-US"/>
        </w:rPr>
      </w:pPr>
      <w:r>
        <w:rPr>
          <w:rFonts w:ascii="Algerian" w:hAnsi="Algerian" w:cs="Times New Roman"/>
          <w:b/>
          <w:color w:val="auto"/>
          <w:sz w:val="40"/>
          <w:szCs w:val="40"/>
          <w:highlight w:val="none"/>
          <w:lang w:val="en-US"/>
        </w:rPr>
        <w:t>Ministry of local government, decentralization and rural development</w:t>
      </w:r>
    </w:p>
    <w:p>
      <w:pPr>
        <w:jc w:val="center"/>
        <w:rPr>
          <w:rFonts w:ascii="Times New Roman" w:hAnsi="Times New Roman" w:cs="Times New Roman"/>
          <w:b/>
          <w:color w:val="auto"/>
          <w:highlight w:val="none"/>
          <w:lang w:val="en-US"/>
        </w:rPr>
      </w:pPr>
    </w:p>
    <w:p>
      <w:pPr>
        <w:rPr>
          <w:rFonts w:ascii="Times New Roman" w:hAnsi="Times New Roman" w:cs="Times New Roman"/>
          <w:b/>
          <w:color w:val="auto"/>
          <w:highlight w:val="none"/>
          <w:lang w:val="en-US"/>
        </w:rPr>
      </w:pPr>
      <w:r>
        <w:rPr>
          <w:rFonts w:ascii="Times New Roman" w:hAnsi="Times New Roman" w:cs="Times New Roman"/>
          <w:b/>
          <w:color w:val="auto"/>
          <w:highlight w:val="none"/>
          <w:lang w:val="en-US"/>
        </w:rPr>
        <w:drawing>
          <wp:anchor distT="0" distB="0" distL="114300" distR="114300" simplePos="0" relativeHeight="251659264" behindDoc="0" locked="0" layoutInCell="1" allowOverlap="1">
            <wp:simplePos x="0" y="0"/>
            <wp:positionH relativeFrom="column">
              <wp:posOffset>1985645</wp:posOffset>
            </wp:positionH>
            <wp:positionV relativeFrom="paragraph">
              <wp:align>top</wp:align>
            </wp:positionV>
            <wp:extent cx="3274060" cy="2910205"/>
            <wp:effectExtent l="0" t="0" r="254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274060" cy="2910205"/>
                    </a:xfrm>
                    <a:prstGeom prst="rect">
                      <a:avLst/>
                    </a:prstGeom>
                    <a:noFill/>
                    <a:ln w="9525">
                      <a:noFill/>
                      <a:miter lim="800000"/>
                      <a:headEnd/>
                      <a:tailEnd/>
                    </a:ln>
                  </pic:spPr>
                </pic:pic>
              </a:graphicData>
            </a:graphic>
          </wp:anchor>
        </w:drawing>
      </w:r>
      <w:r>
        <w:rPr>
          <w:rFonts w:ascii="Times New Roman" w:hAnsi="Times New Roman" w:cs="Times New Roman"/>
          <w:b/>
          <w:color w:val="auto"/>
          <w:highlight w:val="none"/>
          <w:lang w:val="en-US"/>
        </w:rPr>
        <w:br w:type="textWrapping" w:clear="all"/>
      </w:r>
    </w:p>
    <w:p>
      <w:pPr>
        <w:jc w:val="center"/>
        <w:rPr>
          <w:rFonts w:ascii="Algerian" w:hAnsi="Algerian" w:cs="Times New Roman"/>
          <w:b/>
          <w:color w:val="auto"/>
          <w:sz w:val="56"/>
          <w:szCs w:val="56"/>
          <w:highlight w:val="none"/>
          <w:lang w:val="en-US"/>
        </w:rPr>
      </w:pPr>
      <w:r>
        <w:rPr>
          <w:rFonts w:ascii="Algerian" w:hAnsi="Algerian" w:cs="Times New Roman"/>
          <w:b/>
          <w:color w:val="auto"/>
          <w:sz w:val="56"/>
          <w:szCs w:val="56"/>
          <w:highlight w:val="none"/>
          <w:lang w:val="en-US"/>
        </w:rPr>
        <w:t>Birim north District Assembly</w:t>
      </w:r>
    </w:p>
    <w:p>
      <w:pPr>
        <w:jc w:val="center"/>
        <w:rPr>
          <w:rFonts w:ascii="Algerian" w:hAnsi="Algerian" w:cs="Times New Roman"/>
          <w:b/>
          <w:color w:val="auto"/>
          <w:sz w:val="56"/>
          <w:szCs w:val="56"/>
          <w:highlight w:val="none"/>
          <w:lang w:val="en-US"/>
        </w:rPr>
      </w:pPr>
    </w:p>
    <w:p>
      <w:pPr>
        <w:jc w:val="center"/>
        <w:rPr>
          <w:rFonts w:ascii="Algerian" w:hAnsi="Algerian" w:cs="Times New Roman"/>
          <w:b/>
          <w:color w:val="auto"/>
          <w:sz w:val="48"/>
          <w:szCs w:val="48"/>
          <w:highlight w:val="none"/>
          <w:lang w:val="en-US"/>
        </w:rPr>
      </w:pPr>
      <w:r>
        <w:rPr>
          <w:rFonts w:ascii="Algerian" w:hAnsi="Algerian" w:cs="Times New Roman"/>
          <w:b/>
          <w:color w:val="auto"/>
          <w:sz w:val="48"/>
          <w:szCs w:val="48"/>
          <w:highlight w:val="none"/>
          <w:lang w:val="en-US"/>
        </w:rPr>
        <w:t>ANNUAL ACTION PLAN (AAP) FOR 2023</w:t>
      </w:r>
    </w:p>
    <w:p>
      <w:pPr>
        <w:rPr>
          <w:rFonts w:ascii="Algerian" w:hAnsi="Algerian" w:cs="Times New Roman"/>
          <w:b/>
          <w:color w:val="auto"/>
          <w:sz w:val="48"/>
          <w:szCs w:val="48"/>
          <w:highlight w:val="none"/>
          <w:lang w:val="en-US"/>
        </w:rPr>
      </w:pPr>
    </w:p>
    <w:p>
      <w:pPr>
        <w:jc w:val="right"/>
        <w:rPr>
          <w:rFonts w:ascii="Algerian" w:hAnsi="Algerian" w:cs="Times New Roman"/>
          <w:b/>
          <w:color w:val="auto"/>
          <w:sz w:val="48"/>
          <w:szCs w:val="48"/>
          <w:highlight w:val="none"/>
          <w:lang w:val="en-US"/>
        </w:rPr>
      </w:pPr>
    </w:p>
    <w:p>
      <w:pPr>
        <w:jc w:val="right"/>
        <w:rPr>
          <w:rFonts w:ascii="Algerian" w:hAnsi="Algerian" w:cs="Times New Roman"/>
          <w:b/>
          <w:color w:val="auto"/>
          <w:highlight w:val="none"/>
          <w:lang w:val="en-US"/>
        </w:rPr>
        <w:sectPr>
          <w:footerReference r:id="rId5" w:type="default"/>
          <w:pgSz w:w="12240" w:h="15840"/>
          <w:pgMar w:top="993" w:right="1440" w:bottom="1440" w:left="630" w:header="720" w:footer="720" w:gutter="0"/>
          <w:pgBorders w:display="notFirstPage" w:offsetFrom="page">
            <w:top w:val="thinThickThinMediumGap" w:color="auto" w:sz="24" w:space="24"/>
            <w:left w:val="thinThickThinMediumGap" w:color="auto" w:sz="24" w:space="24"/>
            <w:bottom w:val="thinThickThinMediumGap" w:color="auto" w:sz="24" w:space="24"/>
            <w:right w:val="thinThickThinMediumGap" w:color="auto" w:sz="24" w:space="24"/>
          </w:pgBorders>
          <w:cols w:space="720" w:num="1"/>
          <w:docGrid w:linePitch="360" w:charSpace="0"/>
        </w:sectPr>
      </w:pPr>
      <w:r>
        <w:rPr>
          <w:rFonts w:ascii="Algerian" w:hAnsi="Algerian" w:cs="Times New Roman"/>
          <w:b/>
          <w:color w:val="auto"/>
          <w:highlight w:val="none"/>
          <w:lang w:val="en-US"/>
        </w:rPr>
        <w:t>October, 202</w:t>
      </w:r>
    </w:p>
    <w:p>
      <w:pPr>
        <w:tabs>
          <w:tab w:val="left" w:pos="476"/>
          <w:tab w:val="center" w:pos="5085"/>
        </w:tabs>
        <w:jc w:val="center"/>
        <w:rPr>
          <w:rFonts w:ascii="Algerian" w:hAnsi="Algerian" w:cs="Times New Roman"/>
          <w:b/>
          <w:color w:val="auto"/>
          <w:sz w:val="40"/>
          <w:szCs w:val="40"/>
          <w:highlight w:val="none"/>
          <w:lang w:val="en-US"/>
        </w:rPr>
      </w:pPr>
      <w:r>
        <w:rPr>
          <w:rFonts w:ascii="Algerian" w:hAnsi="Algerian" w:cs="Times New Roman"/>
          <w:b/>
          <w:color w:val="auto"/>
          <w:sz w:val="40"/>
          <w:szCs w:val="40"/>
          <w:highlight w:val="none"/>
          <w:lang w:val="en-US"/>
        </w:rPr>
        <w:t>Approval of 2023 annual action plan</w:t>
      </w:r>
    </w:p>
    <w:p>
      <w:pPr>
        <w:jc w:val="center"/>
        <w:rPr>
          <w:rFonts w:ascii="Algerian" w:hAnsi="Algerian" w:cs="Times New Roman"/>
          <w:b/>
          <w:color w:val="auto"/>
          <w:sz w:val="40"/>
          <w:szCs w:val="40"/>
          <w:highlight w:val="none"/>
          <w:lang w:val="en-US"/>
        </w:rPr>
      </w:pPr>
    </w:p>
    <w:p>
      <w:pPr>
        <w:jc w:val="both"/>
        <w:rPr>
          <w:rFonts w:ascii="Algerian" w:hAnsi="Algerian" w:cs="Times New Roman"/>
          <w:color w:val="auto"/>
          <w:sz w:val="24"/>
          <w:szCs w:val="24"/>
          <w:highlight w:val="none"/>
          <w:lang w:val="en-US"/>
        </w:rPr>
      </w:pPr>
      <w:r>
        <w:rPr>
          <w:rFonts w:ascii="Algerian" w:hAnsi="Algerian" w:cs="Times New Roman"/>
          <w:color w:val="auto"/>
          <w:sz w:val="24"/>
          <w:szCs w:val="24"/>
          <w:highlight w:val="none"/>
          <w:lang w:val="en-US"/>
        </w:rPr>
        <w:t>the 2023 annual action plan was approved by the general assembly on the 28</w:t>
      </w:r>
      <w:r>
        <w:rPr>
          <w:rFonts w:ascii="Algerian" w:hAnsi="Algerian" w:cs="Times New Roman"/>
          <w:color w:val="auto"/>
          <w:sz w:val="24"/>
          <w:szCs w:val="24"/>
          <w:highlight w:val="none"/>
          <w:vertAlign w:val="superscript"/>
          <w:lang w:val="en-US"/>
        </w:rPr>
        <w:t>th</w:t>
      </w:r>
      <w:r>
        <w:rPr>
          <w:rFonts w:ascii="Algerian" w:hAnsi="Algerian" w:cs="Times New Roman"/>
          <w:color w:val="auto"/>
          <w:sz w:val="24"/>
          <w:szCs w:val="24"/>
          <w:highlight w:val="none"/>
          <w:lang w:val="en-US"/>
        </w:rPr>
        <w:t xml:space="preserve"> of october 2022.</w:t>
      </w:r>
    </w:p>
    <w:p>
      <w:pPr>
        <w:pStyle w:val="77"/>
        <w:numPr>
          <w:ilvl w:val="0"/>
          <w:numId w:val="4"/>
        </w:numPr>
        <w:jc w:val="both"/>
        <w:rPr>
          <w:rFonts w:ascii="Algerian" w:hAnsi="Algerian" w:cs="Times New Roman"/>
          <w:b/>
          <w:color w:val="auto"/>
          <w:sz w:val="24"/>
          <w:szCs w:val="24"/>
          <w:highlight w:val="none"/>
        </w:rPr>
      </w:pPr>
      <w:r>
        <w:rPr>
          <w:rFonts w:ascii="Algerian" w:hAnsi="Algerian" w:cs="Times New Roman"/>
          <w:color w:val="auto"/>
          <w:sz w:val="24"/>
          <w:szCs w:val="24"/>
          <w:highlight w:val="none"/>
        </w:rPr>
        <w:t>Signed………………………………………on this date…………………………………………</w:t>
      </w:r>
    </w:p>
    <w:p>
      <w:pPr>
        <w:pStyle w:val="77"/>
        <w:ind w:left="1080"/>
        <w:jc w:val="both"/>
        <w:rPr>
          <w:rFonts w:ascii="Algerian" w:hAnsi="Algerian" w:cs="Times New Roman"/>
          <w:color w:val="auto"/>
          <w:sz w:val="24"/>
          <w:szCs w:val="24"/>
          <w:highlight w:val="none"/>
        </w:rPr>
      </w:pPr>
      <w:r>
        <w:rPr>
          <w:rFonts w:ascii="Algerian" w:hAnsi="Algerian" w:cs="Times New Roman"/>
          <w:color w:val="auto"/>
          <w:sz w:val="24"/>
          <w:szCs w:val="24"/>
          <w:highlight w:val="none"/>
        </w:rPr>
        <w:t>Hon. Isaac acheampong</w:t>
      </w:r>
    </w:p>
    <w:p>
      <w:pPr>
        <w:pStyle w:val="77"/>
        <w:ind w:left="1080"/>
        <w:jc w:val="both"/>
        <w:rPr>
          <w:rFonts w:ascii="Algerian" w:hAnsi="Algerian" w:cs="Times New Roman"/>
          <w:color w:val="auto"/>
          <w:sz w:val="24"/>
          <w:szCs w:val="24"/>
          <w:highlight w:val="none"/>
        </w:rPr>
      </w:pPr>
      <w:r>
        <w:rPr>
          <w:rFonts w:ascii="Algerian" w:hAnsi="Algerian" w:cs="Times New Roman"/>
          <w:color w:val="auto"/>
          <w:sz w:val="24"/>
          <w:szCs w:val="24"/>
          <w:highlight w:val="none"/>
        </w:rPr>
        <w:t>(Presiding member)</w:t>
      </w:r>
    </w:p>
    <w:p>
      <w:pPr>
        <w:pStyle w:val="77"/>
        <w:ind w:left="1080"/>
        <w:jc w:val="both"/>
        <w:rPr>
          <w:rFonts w:ascii="Algerian" w:hAnsi="Algerian" w:cs="Times New Roman"/>
          <w:color w:val="auto"/>
          <w:sz w:val="24"/>
          <w:szCs w:val="24"/>
          <w:highlight w:val="none"/>
        </w:rPr>
      </w:pPr>
    </w:p>
    <w:p>
      <w:pPr>
        <w:pStyle w:val="77"/>
        <w:ind w:left="1080"/>
        <w:jc w:val="both"/>
        <w:rPr>
          <w:rFonts w:ascii="Algerian" w:hAnsi="Algerian" w:cs="Times New Roman"/>
          <w:color w:val="auto"/>
          <w:sz w:val="24"/>
          <w:szCs w:val="24"/>
          <w:highlight w:val="none"/>
        </w:rPr>
      </w:pPr>
    </w:p>
    <w:p>
      <w:pPr>
        <w:pStyle w:val="77"/>
        <w:ind w:left="1080"/>
        <w:jc w:val="both"/>
        <w:rPr>
          <w:rFonts w:ascii="Algerian" w:hAnsi="Algerian" w:cs="Times New Roman"/>
          <w:color w:val="auto"/>
          <w:sz w:val="24"/>
          <w:szCs w:val="24"/>
          <w:highlight w:val="none"/>
        </w:rPr>
      </w:pPr>
    </w:p>
    <w:p>
      <w:pPr>
        <w:pStyle w:val="77"/>
        <w:ind w:left="1080"/>
        <w:jc w:val="both"/>
        <w:rPr>
          <w:rFonts w:ascii="Algerian" w:hAnsi="Algerian" w:cs="Times New Roman"/>
          <w:color w:val="auto"/>
          <w:sz w:val="24"/>
          <w:szCs w:val="24"/>
          <w:highlight w:val="none"/>
        </w:rPr>
      </w:pPr>
    </w:p>
    <w:p>
      <w:pPr>
        <w:pStyle w:val="77"/>
        <w:ind w:left="1080"/>
        <w:jc w:val="both"/>
        <w:rPr>
          <w:rFonts w:ascii="Algerian" w:hAnsi="Algerian" w:cs="Times New Roman"/>
          <w:color w:val="auto"/>
          <w:sz w:val="24"/>
          <w:szCs w:val="24"/>
          <w:highlight w:val="none"/>
        </w:rPr>
      </w:pPr>
    </w:p>
    <w:p>
      <w:pPr>
        <w:pStyle w:val="77"/>
        <w:ind w:left="1080"/>
        <w:jc w:val="both"/>
        <w:rPr>
          <w:rFonts w:ascii="Algerian" w:hAnsi="Algerian" w:cs="Times New Roman"/>
          <w:color w:val="auto"/>
          <w:sz w:val="24"/>
          <w:szCs w:val="24"/>
          <w:highlight w:val="none"/>
        </w:rPr>
      </w:pPr>
    </w:p>
    <w:p>
      <w:pPr>
        <w:pStyle w:val="77"/>
        <w:numPr>
          <w:ilvl w:val="0"/>
          <w:numId w:val="4"/>
        </w:numPr>
        <w:jc w:val="both"/>
        <w:rPr>
          <w:rFonts w:ascii="Algerian" w:hAnsi="Algerian" w:cs="Times New Roman"/>
          <w:b/>
          <w:color w:val="auto"/>
          <w:sz w:val="24"/>
          <w:szCs w:val="24"/>
          <w:highlight w:val="none"/>
        </w:rPr>
      </w:pPr>
      <w:r>
        <w:rPr>
          <w:rFonts w:ascii="Algerian" w:hAnsi="Algerian" w:cs="Times New Roman"/>
          <w:color w:val="auto"/>
          <w:sz w:val="24"/>
          <w:szCs w:val="24"/>
          <w:highlight w:val="none"/>
        </w:rPr>
        <w:t>Signed………………………………………on this date…………………………………………</w:t>
      </w:r>
    </w:p>
    <w:p>
      <w:pPr>
        <w:pStyle w:val="77"/>
        <w:ind w:left="1080"/>
        <w:jc w:val="both"/>
        <w:rPr>
          <w:rFonts w:ascii="Algerian" w:hAnsi="Algerian" w:cs="Times New Roman"/>
          <w:color w:val="auto"/>
          <w:sz w:val="24"/>
          <w:szCs w:val="24"/>
          <w:highlight w:val="none"/>
        </w:rPr>
      </w:pPr>
      <w:r>
        <w:rPr>
          <w:rFonts w:ascii="Algerian" w:hAnsi="Algerian" w:cs="Times New Roman"/>
          <w:color w:val="auto"/>
          <w:sz w:val="24"/>
          <w:szCs w:val="24"/>
          <w:highlight w:val="none"/>
        </w:rPr>
        <w:t>Albert k. Mensah</w:t>
      </w:r>
    </w:p>
    <w:p>
      <w:pPr>
        <w:pStyle w:val="77"/>
        <w:ind w:left="1080"/>
        <w:jc w:val="both"/>
        <w:rPr>
          <w:rFonts w:ascii="Algerian" w:hAnsi="Algerian" w:cs="Times New Roman"/>
          <w:color w:val="auto"/>
          <w:sz w:val="24"/>
          <w:szCs w:val="24"/>
          <w:highlight w:val="none"/>
        </w:rPr>
      </w:pPr>
      <w:r>
        <w:rPr>
          <w:rFonts w:ascii="Algerian" w:hAnsi="Algerian" w:cs="Times New Roman"/>
          <w:color w:val="auto"/>
          <w:sz w:val="24"/>
          <w:szCs w:val="24"/>
          <w:highlight w:val="none"/>
        </w:rPr>
        <w:t>(District coordinating director)</w:t>
      </w:r>
    </w:p>
    <w:p>
      <w:pPr>
        <w:pStyle w:val="77"/>
        <w:ind w:left="1080"/>
        <w:jc w:val="both"/>
        <w:rPr>
          <w:rFonts w:ascii="Algerian" w:hAnsi="Algerian" w:cs="Times New Roman"/>
          <w:color w:val="auto"/>
          <w:sz w:val="24"/>
          <w:szCs w:val="24"/>
          <w:highlight w:val="none"/>
        </w:rPr>
      </w:pPr>
    </w:p>
    <w:p>
      <w:pPr>
        <w:pStyle w:val="77"/>
        <w:ind w:left="1080"/>
        <w:jc w:val="both"/>
        <w:rPr>
          <w:rFonts w:ascii="Algerian" w:hAnsi="Algerian" w:cs="Times New Roman"/>
          <w:color w:val="auto"/>
          <w:sz w:val="24"/>
          <w:szCs w:val="24"/>
          <w:highlight w:val="none"/>
        </w:rPr>
      </w:pPr>
    </w:p>
    <w:p>
      <w:pPr>
        <w:jc w:val="both"/>
        <w:rPr>
          <w:rFonts w:ascii="Algerian" w:hAnsi="Algerian" w:cs="Times New Roman"/>
          <w:b/>
          <w:color w:val="auto"/>
          <w:sz w:val="24"/>
          <w:szCs w:val="24"/>
          <w:highlight w:val="none"/>
          <w:lang w:val="en-US"/>
        </w:rPr>
      </w:pPr>
    </w:p>
    <w:p>
      <w:pPr>
        <w:jc w:val="both"/>
        <w:rPr>
          <w:rFonts w:ascii="Algerian" w:hAnsi="Algerian" w:cs="Times New Roman"/>
          <w:b/>
          <w:color w:val="auto"/>
          <w:sz w:val="24"/>
          <w:szCs w:val="24"/>
          <w:highlight w:val="none"/>
          <w:lang w:val="en-US"/>
        </w:rPr>
      </w:pPr>
    </w:p>
    <w:p>
      <w:pPr>
        <w:jc w:val="both"/>
        <w:rPr>
          <w:rFonts w:ascii="Algerian" w:hAnsi="Algerian" w:cs="Times New Roman"/>
          <w:b/>
          <w:color w:val="auto"/>
          <w:sz w:val="24"/>
          <w:szCs w:val="24"/>
          <w:highlight w:val="none"/>
          <w:lang w:val="en-US"/>
        </w:rPr>
      </w:pPr>
    </w:p>
    <w:p>
      <w:pPr>
        <w:jc w:val="both"/>
        <w:rPr>
          <w:rFonts w:ascii="Algerian" w:hAnsi="Algerian" w:cs="Times New Roman"/>
          <w:b/>
          <w:color w:val="auto"/>
          <w:sz w:val="24"/>
          <w:szCs w:val="24"/>
          <w:highlight w:val="none"/>
          <w:lang w:val="en-US"/>
        </w:rPr>
      </w:pPr>
    </w:p>
    <w:p>
      <w:pPr>
        <w:pStyle w:val="77"/>
        <w:numPr>
          <w:ilvl w:val="0"/>
          <w:numId w:val="4"/>
        </w:numPr>
        <w:jc w:val="both"/>
        <w:rPr>
          <w:rFonts w:ascii="Algerian" w:hAnsi="Algerian" w:cs="Times New Roman"/>
          <w:b/>
          <w:color w:val="auto"/>
          <w:sz w:val="24"/>
          <w:szCs w:val="24"/>
          <w:highlight w:val="none"/>
        </w:rPr>
      </w:pPr>
      <w:r>
        <w:rPr>
          <w:rFonts w:ascii="Algerian" w:hAnsi="Algerian" w:cs="Times New Roman"/>
          <w:color w:val="auto"/>
          <w:sz w:val="24"/>
          <w:szCs w:val="24"/>
          <w:highlight w:val="none"/>
        </w:rPr>
        <w:t>Signed………………………………………on this date…………………………………………</w:t>
      </w:r>
    </w:p>
    <w:p>
      <w:pPr>
        <w:pStyle w:val="77"/>
        <w:ind w:left="1080"/>
        <w:jc w:val="both"/>
        <w:rPr>
          <w:rFonts w:ascii="Algerian" w:hAnsi="Algerian" w:cs="Times New Roman"/>
          <w:color w:val="auto"/>
          <w:sz w:val="24"/>
          <w:szCs w:val="24"/>
          <w:highlight w:val="none"/>
        </w:rPr>
      </w:pPr>
      <w:r>
        <w:rPr>
          <w:rFonts w:ascii="Algerian" w:hAnsi="Algerian" w:cs="Times New Roman"/>
          <w:color w:val="auto"/>
          <w:sz w:val="24"/>
          <w:szCs w:val="24"/>
          <w:highlight w:val="none"/>
        </w:rPr>
        <w:t>Hon. Remond nana damptey</w:t>
      </w:r>
    </w:p>
    <w:p>
      <w:pPr>
        <w:pStyle w:val="77"/>
        <w:ind w:left="1080"/>
        <w:jc w:val="both"/>
        <w:rPr>
          <w:rFonts w:ascii="Algerian" w:hAnsi="Algerian" w:cs="Times New Roman"/>
          <w:color w:val="auto"/>
          <w:sz w:val="24"/>
          <w:szCs w:val="24"/>
          <w:highlight w:val="none"/>
        </w:rPr>
      </w:pPr>
      <w:r>
        <w:rPr>
          <w:rFonts w:ascii="Algerian" w:hAnsi="Algerian" w:cs="Times New Roman"/>
          <w:color w:val="auto"/>
          <w:sz w:val="24"/>
          <w:szCs w:val="24"/>
          <w:highlight w:val="none"/>
        </w:rPr>
        <w:t>(District chief executive)</w:t>
      </w:r>
    </w:p>
    <w:p>
      <w:pPr>
        <w:pStyle w:val="77"/>
        <w:ind w:left="1080"/>
        <w:jc w:val="both"/>
        <w:rPr>
          <w:rFonts w:ascii="Algerian" w:hAnsi="Algerian" w:cs="Times New Roman"/>
          <w:b/>
          <w:color w:val="auto"/>
          <w:sz w:val="24"/>
          <w:szCs w:val="24"/>
          <w:highlight w:val="none"/>
        </w:rPr>
      </w:pPr>
    </w:p>
    <w:p>
      <w:pPr>
        <w:jc w:val="center"/>
        <w:rPr>
          <w:rFonts w:ascii="Algerian" w:hAnsi="Algerian" w:cs="Times New Roman"/>
          <w:b/>
          <w:color w:val="auto"/>
          <w:sz w:val="40"/>
          <w:szCs w:val="40"/>
          <w:highlight w:val="none"/>
          <w:lang w:val="en-US"/>
        </w:rPr>
      </w:pPr>
    </w:p>
    <w:p>
      <w:pPr>
        <w:rPr>
          <w:rFonts w:ascii="Algerian" w:hAnsi="Algerian" w:cs="Times New Roman"/>
          <w:b/>
          <w:color w:val="auto"/>
          <w:sz w:val="40"/>
          <w:szCs w:val="40"/>
          <w:highlight w:val="none"/>
          <w:lang w:val="en-US"/>
        </w:rPr>
      </w:pPr>
      <w:r>
        <w:rPr>
          <w:rFonts w:ascii="Algerian" w:hAnsi="Algerian" w:cs="Times New Roman"/>
          <w:b/>
          <w:color w:val="auto"/>
          <w:sz w:val="40"/>
          <w:szCs w:val="40"/>
          <w:highlight w:val="none"/>
          <w:lang w:val="en-US"/>
        </w:rPr>
        <w:br w:type="page"/>
      </w:r>
    </w:p>
    <w:p>
      <w:pPr>
        <w:tabs>
          <w:tab w:val="left" w:pos="976"/>
        </w:tabs>
        <w:jc w:val="both"/>
        <w:rPr>
          <w:rFonts w:ascii="Times New Roman" w:hAnsi="Times New Roman" w:cs="Times New Roman"/>
          <w:color w:val="auto"/>
          <w:sz w:val="24"/>
          <w:szCs w:val="24"/>
          <w:highlight w:val="none"/>
          <w:lang w:val="en-US"/>
        </w:rPr>
      </w:pPr>
      <w:r>
        <w:rPr>
          <w:rFonts w:ascii="Times New Roman" w:hAnsi="Times New Roman" w:cs="Times New Roman"/>
          <w:b/>
          <w:color w:val="auto"/>
          <w:sz w:val="24"/>
          <w:szCs w:val="24"/>
          <w:highlight w:val="none"/>
          <w:lang w:val="en-US"/>
        </w:rPr>
        <w:t>1.0 Location and Size</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Birim North District was carved out of the former Birim District Council in 1987 as part of the government’s decentralization programme to promote effective decentralized governance and speed up the development of the area. After Akyemansa District was carved out of the Birim North District, its estimated total land area reduced significantly from 1270 square kilometers to 550 square kilometers. It has 78 settlements within its jurisdiction. It is bordered to the north by Kwahu West Municipal, to the South by Akyemansa District, to the East by Atiwa East District and Kwaebibiriem Municipal and to the West by Asante Akyem South and Adansi South District both in the Ashanti Region. </w:t>
      </w:r>
    </w:p>
    <w:p>
      <w:pPr>
        <w:numPr>
          <w:ilvl w:val="1"/>
          <w:numId w:val="5"/>
        </w:numPr>
        <w:spacing w:after="200" w:line="360" w:lineRule="auto"/>
        <w:contextualSpacing/>
        <w:jc w:val="both"/>
        <w:rPr>
          <w:rFonts w:ascii="Times New Roman" w:hAnsi="Times New Roman" w:cs="Times New Roman" w:eastAsiaTheme="minorEastAsia"/>
          <w:b/>
          <w:color w:val="auto"/>
          <w:sz w:val="24"/>
          <w:szCs w:val="24"/>
          <w:highlight w:val="none"/>
          <w:lang w:val="en-US"/>
        </w:rPr>
      </w:pPr>
      <w:r>
        <w:rPr>
          <w:rFonts w:ascii="Times New Roman" w:hAnsi="Times New Roman" w:cs="Times New Roman" w:eastAsiaTheme="minorEastAsia"/>
          <w:b/>
          <w:color w:val="auto"/>
          <w:sz w:val="24"/>
          <w:szCs w:val="24"/>
          <w:highlight w:val="none"/>
          <w:lang w:val="en-US"/>
        </w:rPr>
        <w:t>Vision Statement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Birim North District Assembly is to be environmentally sustainable mining and agrarian district.</w:t>
      </w:r>
    </w:p>
    <w:p>
      <w:pPr>
        <w:numPr>
          <w:ilvl w:val="1"/>
          <w:numId w:val="5"/>
        </w:numPr>
        <w:spacing w:after="200" w:line="360" w:lineRule="auto"/>
        <w:contextualSpacing/>
        <w:jc w:val="both"/>
        <w:rPr>
          <w:rFonts w:ascii="Times New Roman" w:hAnsi="Times New Roman" w:cs="Times New Roman" w:eastAsiaTheme="minorEastAsia"/>
          <w:b/>
          <w:color w:val="auto"/>
          <w:sz w:val="24"/>
          <w:szCs w:val="24"/>
          <w:highlight w:val="none"/>
          <w:lang w:val="en-US"/>
        </w:rPr>
      </w:pPr>
      <w:r>
        <w:rPr>
          <w:rFonts w:ascii="Times New Roman" w:hAnsi="Times New Roman" w:cs="Times New Roman" w:eastAsiaTheme="minorEastAsia"/>
          <w:b/>
          <w:color w:val="auto"/>
          <w:sz w:val="24"/>
          <w:szCs w:val="24"/>
          <w:highlight w:val="none"/>
          <w:lang w:val="en-US"/>
        </w:rPr>
        <w:t>Mission Statement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Birim North District Assembly exists to ensure improvement in the quality of life of its citizens by mobilizing human, material and financial resources’ in the district to promote local economic development.</w:t>
      </w:r>
    </w:p>
    <w:p>
      <w:pPr>
        <w:numPr>
          <w:ilvl w:val="1"/>
          <w:numId w:val="5"/>
        </w:numPr>
        <w:spacing w:after="200" w:line="360" w:lineRule="auto"/>
        <w:contextualSpacing/>
        <w:jc w:val="both"/>
        <w:rPr>
          <w:rFonts w:ascii="Times New Roman" w:hAnsi="Times New Roman" w:cs="Times New Roman" w:eastAsiaTheme="minorEastAsia"/>
          <w:b/>
          <w:color w:val="auto"/>
          <w:sz w:val="24"/>
          <w:szCs w:val="24"/>
          <w:highlight w:val="none"/>
          <w:lang w:val="en-US"/>
        </w:rPr>
      </w:pPr>
      <w:r>
        <w:rPr>
          <w:rFonts w:ascii="Times New Roman" w:hAnsi="Times New Roman" w:cs="Times New Roman" w:eastAsiaTheme="minorEastAsia"/>
          <w:b/>
          <w:color w:val="auto"/>
          <w:sz w:val="24"/>
          <w:szCs w:val="24"/>
          <w:highlight w:val="none"/>
          <w:lang w:val="en-US"/>
        </w:rPr>
        <w:t>Objective</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To enhance the quality of life of its people through the provision of basic infrastructure and sustainable use of natural resources </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2.0</w:t>
      </w:r>
      <w:r>
        <w:rPr>
          <w:rFonts w:ascii="Times New Roman" w:hAnsi="Times New Roman" w:cs="Times New Roman"/>
          <w:b/>
          <w:i/>
          <w:color w:val="auto"/>
          <w:sz w:val="24"/>
          <w:szCs w:val="24"/>
          <w:highlight w:val="none"/>
          <w:lang w:val="en-US"/>
        </w:rPr>
        <w:t xml:space="preserve"> </w:t>
      </w:r>
      <w:r>
        <w:rPr>
          <w:rFonts w:ascii="Times New Roman" w:hAnsi="Times New Roman" w:cs="Times New Roman"/>
          <w:b/>
          <w:color w:val="auto"/>
          <w:sz w:val="24"/>
          <w:szCs w:val="24"/>
          <w:highlight w:val="none"/>
          <w:lang w:val="en-US"/>
        </w:rPr>
        <w:t>Compactness of the District Capital</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It has one compact town, New Abirem, a well-known commercial town as the District capital. The District capital is located about 241kilometres North West of Accra. It is the third largest urban center in the District after Akoase and Afosu. </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3.0 Population Growth and Density</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2021 National Population and Housing Census put the District population at </w:t>
      </w:r>
      <w:r>
        <w:rPr>
          <w:rFonts w:ascii="Times New Roman" w:hAnsi="Times New Roman" w:cs="Times New Roman"/>
          <w:b/>
          <w:color w:val="auto"/>
          <w:sz w:val="24"/>
          <w:szCs w:val="24"/>
          <w:highlight w:val="none"/>
          <w:lang w:val="en-US"/>
        </w:rPr>
        <w:t xml:space="preserve">82,669 </w:t>
      </w:r>
      <w:r>
        <w:rPr>
          <w:rFonts w:ascii="Times New Roman" w:hAnsi="Times New Roman" w:cs="Times New Roman"/>
          <w:color w:val="auto"/>
          <w:sz w:val="24"/>
          <w:szCs w:val="24"/>
          <w:highlight w:val="none"/>
          <w:lang w:val="en-US"/>
        </w:rPr>
        <w:t>representing 2.8 percent of the region population</w:t>
      </w:r>
      <w:r>
        <w:rPr>
          <w:rFonts w:ascii="Times New Roman" w:hAnsi="Times New Roman" w:cs="Times New Roman"/>
          <w:b/>
          <w:color w:val="auto"/>
          <w:sz w:val="24"/>
          <w:szCs w:val="24"/>
          <w:highlight w:val="none"/>
          <w:lang w:val="en-US"/>
        </w:rPr>
        <w:t xml:space="preserve"> </w:t>
      </w:r>
      <w:r>
        <w:rPr>
          <w:rFonts w:ascii="Times New Roman" w:hAnsi="Times New Roman" w:cs="Times New Roman"/>
          <w:color w:val="auto"/>
          <w:sz w:val="24"/>
          <w:szCs w:val="24"/>
          <w:highlight w:val="none"/>
          <w:lang w:val="en-US"/>
        </w:rPr>
        <w:t>with an intercensal growth rate of about 2.1%. The in and out flow of population to the district especially its capital on a daily basis is estimated to be 2,000. The projected population is therefore considered rather low considering the inflow of people into the district capital on daily basis. The male population is 41,343 (50.01%) and that of female is 41,326(49.99%), indicating that there are slightly more males than females in the district. The projected population for 2023 is 103,676 using a growth rate of 2.1%.</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color w:val="auto"/>
          <w:sz w:val="24"/>
          <w:szCs w:val="24"/>
          <w:highlight w:val="none"/>
          <w:lang w:val="en-US"/>
        </w:rPr>
        <w:t>Furthermore, with the projected 2023 population figure of 103,676, the density would be 188.5 persons per sq km, which is one of the highest in the region. The increase in population has a direct effect on the density. This indicates a great pressure of population on land, resources and social services especially in the District capital town –New Abirem.</w:t>
      </w:r>
    </w:p>
    <w:p>
      <w:pPr>
        <w:keepNext/>
        <w:keepLines/>
        <w:spacing w:after="0" w:line="360" w:lineRule="auto"/>
        <w:jc w:val="both"/>
        <w:outlineLvl w:val="1"/>
        <w:rPr>
          <w:rFonts w:ascii="Times New Roman" w:hAnsi="Times New Roman" w:cs="Times New Roman" w:eastAsiaTheme="majorEastAsia"/>
          <w:b/>
          <w:color w:val="auto"/>
          <w:sz w:val="24"/>
          <w:szCs w:val="24"/>
          <w:highlight w:val="none"/>
          <w:lang w:val="en-US"/>
        </w:rPr>
      </w:pPr>
      <w:r>
        <w:rPr>
          <w:rFonts w:ascii="Times New Roman" w:hAnsi="Times New Roman" w:cs="Times New Roman" w:eastAsiaTheme="majorEastAsia"/>
          <w:b/>
          <w:color w:val="auto"/>
          <w:sz w:val="24"/>
          <w:szCs w:val="24"/>
          <w:highlight w:val="none"/>
          <w:lang w:val="en-US"/>
        </w:rPr>
        <w:t>3.1 Rural-Urban Split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According to the 2021 National Population Census projected for 2023, only 32.2 percent of the population lived in urban areas and the rest (67.8%) lived in rural areas. This shows that the District is essentially a rural district with majority of its population living in the rural areas compared with urban areas.</w:t>
      </w:r>
    </w:p>
    <w:p>
      <w:pPr>
        <w:spacing w:line="360" w:lineRule="auto"/>
        <w:jc w:val="both"/>
        <w:rPr>
          <w:rFonts w:ascii="Times New Roman" w:hAnsi="Times New Roman" w:cs="Times New Roman"/>
          <w:color w:val="auto"/>
          <w:sz w:val="24"/>
          <w:szCs w:val="24"/>
          <w:highlight w:val="none"/>
          <w:lang w:val="en-US"/>
        </w:rPr>
      </w:pPr>
    </w:p>
    <w:p>
      <w:pPr>
        <w:spacing w:line="360" w:lineRule="auto"/>
        <w:jc w:val="both"/>
        <w:rPr>
          <w:rFonts w:ascii="Times New Roman" w:hAnsi="Times New Roman" w:cs="Times New Roman"/>
          <w:color w:val="auto"/>
          <w:sz w:val="24"/>
          <w:szCs w:val="24"/>
          <w:highlight w:val="none"/>
          <w:lang w:val="en-US"/>
        </w:rPr>
      </w:pPr>
    </w:p>
    <w:p>
      <w:pPr>
        <w:spacing w:line="360" w:lineRule="auto"/>
        <w:jc w:val="both"/>
        <w:rPr>
          <w:rFonts w:ascii="Times New Roman" w:hAnsi="Times New Roman" w:cs="Times New Roman"/>
          <w:color w:val="auto"/>
          <w:sz w:val="24"/>
          <w:szCs w:val="24"/>
          <w:highlight w:val="none"/>
          <w:lang w:val="en-GB"/>
        </w:rPr>
      </w:pPr>
      <w:r>
        <w:rPr>
          <w:rFonts w:ascii="Times New Roman" w:hAnsi="Times New Roman" w:cs="Times New Roman"/>
          <w:color w:val="auto"/>
          <w:sz w:val="24"/>
          <w:szCs w:val="24"/>
          <w:highlight w:val="none"/>
          <w:lang w:val="en-US"/>
        </w:rPr>
        <w:object>
          <v:shape id="_x0000_i1025" o:spt="75" type="#_x0000_t75" style="height:584.45pt;width:460.95pt;" o:ole="t" filled="f" o:preferrelative="t" stroked="f" coordsize="21600,21600">
            <v:path/>
            <v:fill on="f" focussize="0,0"/>
            <v:stroke on="f" joinstyle="miter"/>
            <v:imagedata r:id="rId11" o:title=""/>
            <o:lock v:ext="edit" aspectratio="t"/>
            <w10:wrap type="none"/>
            <w10:anchorlock/>
          </v:shape>
          <o:OLEObject Type="Embed" ProgID="AcroExch.Document.2015" ShapeID="_x0000_i1025" DrawAspect="Content" ObjectID="_1468075725" r:id="rId10">
            <o:LockedField>false</o:LockedField>
          </o:OLEObject>
        </w:object>
      </w:r>
    </w:p>
    <w:p>
      <w:pPr>
        <w:spacing w:after="200" w:line="240" w:lineRule="auto"/>
        <w:jc w:val="center"/>
        <w:rPr>
          <w:rFonts w:ascii="Times New Roman" w:hAnsi="Times New Roman" w:eastAsia="Calibri" w:cs="Times New Roman"/>
          <w:b/>
          <w:bCs/>
          <w:color w:val="auto"/>
          <w:sz w:val="24"/>
          <w:szCs w:val="24"/>
          <w:highlight w:val="none"/>
          <w:lang w:val="en-GB"/>
        </w:rPr>
      </w:pPr>
      <w:bookmarkStart w:id="0" w:name="_Toc506367829"/>
      <w:bookmarkStart w:id="1" w:name="_Toc506301571"/>
      <w:r>
        <w:rPr>
          <w:rFonts w:ascii="Times New Roman" w:hAnsi="Times New Roman" w:eastAsia="Calibri" w:cs="Times New Roman"/>
          <w:b/>
          <w:bCs/>
          <w:color w:val="auto"/>
          <w:sz w:val="24"/>
          <w:szCs w:val="24"/>
          <w:highlight w:val="none"/>
          <w:lang w:val="en-GB"/>
        </w:rPr>
        <w:t>Figure 1: Map of Birim North in National Context</w:t>
      </w:r>
      <w:bookmarkEnd w:id="0"/>
      <w:bookmarkEnd w:id="1"/>
    </w:p>
    <w:p>
      <w:pPr>
        <w:spacing w:line="360" w:lineRule="auto"/>
        <w:jc w:val="both"/>
        <w:rPr>
          <w:rFonts w:ascii="Times New Roman" w:hAnsi="Times New Roman" w:cs="Times New Roman"/>
          <w:color w:val="auto"/>
          <w:sz w:val="24"/>
          <w:szCs w:val="24"/>
          <w:highlight w:val="none"/>
          <w:lang w:val="en-US"/>
        </w:rPr>
      </w:pP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object>
          <v:shape id="_x0000_i1026" o:spt="75" type="#_x0000_t75" style="height:610.6pt;width:432pt;" o:ole="t" filled="f" o:preferrelative="t" stroked="f" coordsize="21600,21600">
            <v:path/>
            <v:fill on="f" focussize="0,0"/>
            <v:stroke on="f" joinstyle="miter"/>
            <v:imagedata r:id="rId13" o:title=""/>
            <o:lock v:ext="edit" aspectratio="t"/>
            <w10:wrap type="none"/>
            <w10:anchorlock/>
          </v:shape>
          <o:OLEObject Type="Embed" ProgID="AcroExch.Document.2015" ShapeID="_x0000_i1026" DrawAspect="Content" ObjectID="_1468075726" r:id="rId12">
            <o:LockedField>false</o:LockedField>
          </o:OLEObject>
        </w:object>
      </w:r>
    </w:p>
    <w:p>
      <w:pPr>
        <w:spacing w:after="200" w:line="240" w:lineRule="auto"/>
        <w:jc w:val="center"/>
        <w:rPr>
          <w:rFonts w:ascii="Times New Roman" w:hAnsi="Times New Roman" w:eastAsia="Calibri" w:cs="Times New Roman"/>
          <w:b/>
          <w:bCs/>
          <w:color w:val="auto"/>
          <w:sz w:val="24"/>
          <w:szCs w:val="24"/>
          <w:highlight w:val="none"/>
          <w:lang w:val="en-GB"/>
        </w:rPr>
      </w:pPr>
      <w:bookmarkStart w:id="2" w:name="_Toc506367830"/>
      <w:r>
        <w:rPr>
          <w:rFonts w:ascii="Times New Roman" w:hAnsi="Times New Roman" w:eastAsia="Calibri" w:cs="Times New Roman"/>
          <w:b/>
          <w:bCs/>
          <w:color w:val="auto"/>
          <w:sz w:val="24"/>
          <w:szCs w:val="24"/>
          <w:highlight w:val="none"/>
          <w:lang w:val="en-GB"/>
        </w:rPr>
        <w:t>Figure 2: Map of Birim North District</w:t>
      </w:r>
      <w:bookmarkEnd w:id="2"/>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4.0 Economic Potential of the District.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strategic location of the District capital town couple with a high population growth rate makes New Abirem one of the fastest growing and a vibrant commercial town in the region. Apart from serving as a strong marketing center for her border districts, it is the main marketing center for goods coming from Kade, Nkawkaw and Akim Oda. The presence of good roads therefore has a potential of promoting strong economic linkages with a number of Districts’ to promote economic growth through trade and investment.</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5.0</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GOVERNANCE</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a)</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Establishment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Birim North District was carved out of the former Birim District Council in 1987 with L.I 1422 as part of the government’s decentralization programme to promote effective decentralized governance and speed up the development of the area. It has deliberative, legislative and executive powers. </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b)</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Structure of the Assembly</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District consists of 26 electoral areas and represented in the general Assembly by elected and appointed Assembly members. The composition of the Assembly is made up of 26 elected members, 12 appointed members, one Member of Parliament and the District Chief Executive.</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An elected Presiding Member with the District Coordinating Director as the Secretary heads the General Assembly.  The Assembly has two committees i.e. Executive committee and Public Relations and Complaints Committee (PRCC). The Executive committee has six sub-committees, which facilitate the performance of its statutory functions. The sub-committees are as follows. </w:t>
      </w:r>
    </w:p>
    <w:p>
      <w:pPr>
        <w:numPr>
          <w:ilvl w:val="0"/>
          <w:numId w:val="6"/>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Development Planning Sub-committee</w:t>
      </w:r>
    </w:p>
    <w:p>
      <w:pPr>
        <w:numPr>
          <w:ilvl w:val="0"/>
          <w:numId w:val="6"/>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Works Sub-Committee</w:t>
      </w:r>
    </w:p>
    <w:p>
      <w:pPr>
        <w:numPr>
          <w:ilvl w:val="0"/>
          <w:numId w:val="6"/>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Finance and Administration Sub-committee </w:t>
      </w:r>
    </w:p>
    <w:p>
      <w:pPr>
        <w:numPr>
          <w:ilvl w:val="0"/>
          <w:numId w:val="6"/>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Justice and Security Sub-committee</w:t>
      </w:r>
    </w:p>
    <w:p>
      <w:pPr>
        <w:numPr>
          <w:ilvl w:val="0"/>
          <w:numId w:val="6"/>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Social Services Sub-committee</w:t>
      </w:r>
    </w:p>
    <w:p>
      <w:pPr>
        <w:numPr>
          <w:ilvl w:val="0"/>
          <w:numId w:val="6"/>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Agric and Environment Sub-committee</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Further, we have in the District all the decentralized departments and other quasi government organizations like the National Commission for Civic Education, Commission on Human Rights and Administrative Justice, Ghana Ambulance Service, National Board for Small Scale Industries (NBSSI), Fire Service, Immigration Service, Electoral Commission, Stool lands, Electricity Company of Ghana among others. The established Decentralized Departments are as follows:</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Centralized Administration Department</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Works Department </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Physical Planning Department</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Department of Trade and Industry </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Department of Agriculture </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Department of Social Welfare and Community Development </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Finance Department </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Education, Youth and Sports Department</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Disaster Prevention and Management Department </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Natural Resources Conservation Department of Forestry, Game and Wildlife Division</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District Health Department   </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Department of Statistics</w:t>
      </w:r>
    </w:p>
    <w:p>
      <w:pPr>
        <w:numPr>
          <w:ilvl w:val="0"/>
          <w:numId w:val="7"/>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Department of Human Resource</w:t>
      </w:r>
    </w:p>
    <w:p>
      <w:pPr>
        <w:spacing w:after="200" w:line="360" w:lineRule="auto"/>
        <w:ind w:left="720"/>
        <w:contextualSpacing/>
        <w:jc w:val="both"/>
        <w:rPr>
          <w:rFonts w:ascii="Times New Roman" w:hAnsi="Times New Roman" w:cs="Times New Roman" w:eastAsiaTheme="minorEastAsia"/>
          <w:color w:val="auto"/>
          <w:sz w:val="24"/>
          <w:szCs w:val="24"/>
          <w:highlight w:val="none"/>
          <w:lang w:val="en-US"/>
        </w:rPr>
      </w:pP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C)</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Sub-District structures (Urban/Town and Area Councils)</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District has four (4) sub-structures namely:</w:t>
      </w:r>
    </w:p>
    <w:p>
      <w:pPr>
        <w:numPr>
          <w:ilvl w:val="0"/>
          <w:numId w:val="8"/>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New Abirem /Afosu Area Council</w:t>
      </w:r>
    </w:p>
    <w:p>
      <w:pPr>
        <w:numPr>
          <w:ilvl w:val="0"/>
          <w:numId w:val="8"/>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Akoase Town Council</w:t>
      </w:r>
    </w:p>
    <w:p>
      <w:pPr>
        <w:numPr>
          <w:ilvl w:val="0"/>
          <w:numId w:val="8"/>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Praman Area Council</w:t>
      </w:r>
    </w:p>
    <w:p>
      <w:pPr>
        <w:numPr>
          <w:ilvl w:val="0"/>
          <w:numId w:val="8"/>
        </w:num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Pankese Area Council</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Area Councils are well established and are supporting the Assembly in its development efforts. All the Area Councils have the full complement of staff to work with.</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drawing>
          <wp:inline distT="0" distB="0" distL="0" distR="0">
            <wp:extent cx="6115050" cy="60540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115050" cy="6054090"/>
                    </a:xfrm>
                    <a:prstGeom prst="rect">
                      <a:avLst/>
                    </a:prstGeom>
                    <a:noFill/>
                  </pic:spPr>
                </pic:pic>
              </a:graphicData>
            </a:graphic>
          </wp:inline>
        </w:drawing>
      </w:r>
    </w:p>
    <w:p>
      <w:pPr>
        <w:spacing w:line="360" w:lineRule="auto"/>
        <w:jc w:val="both"/>
        <w:rPr>
          <w:rFonts w:ascii="Times New Roman" w:hAnsi="Times New Roman" w:cs="Times New Roman"/>
          <w:b/>
          <w:i/>
          <w:color w:val="auto"/>
          <w:sz w:val="24"/>
          <w:szCs w:val="24"/>
          <w:highlight w:val="none"/>
          <w:lang w:val="en-US"/>
        </w:rPr>
      </w:pPr>
      <w:r>
        <w:rPr>
          <w:rFonts w:ascii="Times New Roman" w:hAnsi="Times New Roman" w:cs="Times New Roman"/>
          <w:b/>
          <w:i/>
          <w:color w:val="auto"/>
          <w:sz w:val="24"/>
          <w:szCs w:val="24"/>
          <w:highlight w:val="none"/>
          <w:lang w:val="en-US"/>
        </w:rPr>
        <w:t>6.0</w:t>
      </w:r>
      <w:r>
        <w:rPr>
          <w:rFonts w:ascii="Times New Roman" w:hAnsi="Times New Roman" w:cs="Times New Roman"/>
          <w:b/>
          <w:i/>
          <w:color w:val="auto"/>
          <w:sz w:val="24"/>
          <w:szCs w:val="24"/>
          <w:highlight w:val="none"/>
          <w:lang w:val="en-US"/>
        </w:rPr>
        <w:tab/>
      </w:r>
      <w:r>
        <w:rPr>
          <w:rFonts w:ascii="Times New Roman" w:hAnsi="Times New Roman" w:cs="Times New Roman"/>
          <w:b/>
          <w:i/>
          <w:color w:val="auto"/>
          <w:sz w:val="24"/>
          <w:szCs w:val="24"/>
          <w:highlight w:val="none"/>
          <w:lang w:val="en-US"/>
        </w:rPr>
        <w:t>SOCIAL SERVICES</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6.1 Education</w:t>
      </w:r>
    </w:p>
    <w:p>
      <w:pPr>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Educationally, the district has been demarcated into seven (7) Circuits headed by School Improvement support officers (SISOs) to make supervision and monitoring of schools effective and efficient. The circuits are: Afosu, Akoase, Amuana Praso, New Abirem, Nkwateng, Ntronang and Pankese. There are 189 Public Basic Schools, 62 Private and 3 SHS – New Abirem/ Afosu SHS, Akoase St. Michael’s SHS and Amuana Praso SHS. The overall Student population in the district is 24,737 consisting of 12,745 boys and 11,965 girls giving the Gender Parity Index (GPI) of 1.07.  The overall Teacher population is 1,298 with 810 males and 488 females giving the District Pupil Teachers Ration (PTR) of 1: 19. The map below presents the state of educational infrastructure in the district.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bidi="en-US"/>
        </w:rPr>
        <w:t xml:space="preserve">The survey in </w:t>
      </w:r>
      <w:r>
        <w:rPr>
          <w:rFonts w:ascii="Times New Roman" w:hAnsi="Times New Roman" w:cs="Times New Roman"/>
          <w:color w:val="auto"/>
          <w:sz w:val="24"/>
          <w:szCs w:val="24"/>
          <w:highlight w:val="none"/>
          <w:lang w:val="en-US"/>
        </w:rPr>
        <w:t xml:space="preserve">Birim North District </w:t>
      </w:r>
      <w:r>
        <w:rPr>
          <w:rFonts w:ascii="Times New Roman" w:hAnsi="Times New Roman" w:cs="Times New Roman"/>
          <w:color w:val="auto"/>
          <w:sz w:val="24"/>
          <w:szCs w:val="24"/>
          <w:highlight w:val="none"/>
          <w:lang w:val="en-US" w:bidi="en-US"/>
        </w:rPr>
        <w:t xml:space="preserve">covered the educational characteristics and its implications for development. </w:t>
      </w:r>
      <w:r>
        <w:rPr>
          <w:rFonts w:ascii="Times New Roman" w:hAnsi="Times New Roman" w:cs="Times New Roman"/>
          <w:color w:val="auto"/>
          <w:sz w:val="24"/>
          <w:szCs w:val="24"/>
          <w:highlight w:val="none"/>
          <w:lang w:val="en-US"/>
        </w:rPr>
        <w:t xml:space="preserve">The District currently has both Basic and Second Cycle Schools. </w:t>
      </w:r>
    </w:p>
    <w:p>
      <w:pPr>
        <w:numPr>
          <w:ilvl w:val="0"/>
          <w:numId w:val="9"/>
        </w:numPr>
        <w:spacing w:after="0" w:line="360" w:lineRule="auto"/>
        <w:contextualSpacing/>
        <w:jc w:val="both"/>
        <w:rPr>
          <w:rFonts w:ascii="Times New Roman" w:hAnsi="Times New Roman" w:cs="Times New Roman" w:eastAsiaTheme="minorEastAsia"/>
          <w:b/>
          <w:color w:val="auto"/>
          <w:sz w:val="24"/>
          <w:szCs w:val="24"/>
          <w:highlight w:val="none"/>
          <w:lang w:val="en-US" w:bidi="en-US"/>
        </w:rPr>
      </w:pPr>
      <w:r>
        <w:rPr>
          <w:rFonts w:ascii="Times New Roman" w:hAnsi="Times New Roman" w:cs="Times New Roman" w:eastAsiaTheme="minorEastAsia"/>
          <w:b/>
          <w:color w:val="auto"/>
          <w:sz w:val="24"/>
          <w:szCs w:val="24"/>
          <w:highlight w:val="none"/>
          <w:lang w:val="en-US"/>
        </w:rPr>
        <w:t>Enrolment Levels</w:t>
      </w:r>
    </w:p>
    <w:p>
      <w:pPr>
        <w:spacing w:after="0" w:line="360" w:lineRule="auto"/>
        <w:jc w:val="both"/>
        <w:rPr>
          <w:rFonts w:ascii="Times New Roman" w:hAnsi="Times New Roman" w:cs="Times New Roman"/>
          <w:color w:val="auto"/>
          <w:sz w:val="24"/>
          <w:szCs w:val="24"/>
          <w:highlight w:val="none"/>
          <w:lang w:val="en-US" w:bidi="en-US"/>
        </w:rPr>
      </w:pPr>
    </w:p>
    <w:p>
      <w:pPr>
        <w:shd w:val="clear" w:color="auto" w:fill="FFFFFF" w:themeFill="background1"/>
        <w:spacing w:after="0" w:line="240" w:lineRule="auto"/>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Table 1: Educational facilities and pupil’s enrolment in the district as at June, 2022</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50"/>
        <w:gridCol w:w="992"/>
        <w:gridCol w:w="1134"/>
        <w:gridCol w:w="891"/>
        <w:gridCol w:w="1170"/>
        <w:gridCol w:w="990"/>
        <w:gridCol w:w="9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Schools</w:t>
            </w:r>
          </w:p>
        </w:tc>
        <w:tc>
          <w:tcPr>
            <w:tcW w:w="7827" w:type="dxa"/>
            <w:gridSpan w:val="8"/>
          </w:tcPr>
          <w:p>
            <w:pPr>
              <w:shd w:val="clear" w:color="auto" w:fill="FFFFFF" w:themeFill="background1"/>
              <w:spacing w:after="0" w:line="360" w:lineRule="auto"/>
              <w:jc w:val="center"/>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Enrolment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1101" w:type="dxa"/>
            <w:vMerge w:val="restart"/>
          </w:tcPr>
          <w:p>
            <w:pPr>
              <w:shd w:val="clear" w:color="auto" w:fill="FFFFFF" w:themeFill="background1"/>
              <w:spacing w:after="0" w:line="360" w:lineRule="auto"/>
              <w:rPr>
                <w:rFonts w:ascii="Times New Roman" w:hAnsi="Times New Roman"/>
                <w:b/>
                <w:color w:val="auto"/>
                <w:sz w:val="24"/>
                <w:szCs w:val="24"/>
                <w:highlight w:val="none"/>
                <w:lang w:val="en-US"/>
              </w:rPr>
            </w:pPr>
          </w:p>
        </w:tc>
        <w:tc>
          <w:tcPr>
            <w:tcW w:w="850" w:type="dxa"/>
            <w:vMerge w:val="restart"/>
            <w:shd w:val="clear" w:color="auto" w:fill="FFFFFF" w:themeFill="background1"/>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Public</w:t>
            </w:r>
          </w:p>
        </w:tc>
        <w:tc>
          <w:tcPr>
            <w:tcW w:w="3017" w:type="dxa"/>
            <w:gridSpan w:val="3"/>
          </w:tcPr>
          <w:p>
            <w:pPr>
              <w:shd w:val="clear" w:color="auto" w:fill="FFFFFF" w:themeFill="background1"/>
              <w:spacing w:after="0" w:line="360" w:lineRule="auto"/>
              <w:jc w:val="center"/>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Enrolment</w:t>
            </w:r>
          </w:p>
        </w:tc>
        <w:tc>
          <w:tcPr>
            <w:tcW w:w="1170" w:type="dxa"/>
            <w:shd w:val="clear" w:color="auto" w:fill="FFFFFF" w:themeFill="background1"/>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Private</w:t>
            </w:r>
          </w:p>
        </w:tc>
        <w:tc>
          <w:tcPr>
            <w:tcW w:w="2790" w:type="dxa"/>
            <w:gridSpan w:val="3"/>
          </w:tcPr>
          <w:p>
            <w:pPr>
              <w:shd w:val="clear" w:color="auto" w:fill="FFFFFF" w:themeFill="background1"/>
              <w:spacing w:after="0" w:line="360" w:lineRule="auto"/>
              <w:jc w:val="center"/>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Enrolment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101" w:type="dxa"/>
            <w:vMerge w:val="continue"/>
          </w:tcPr>
          <w:p>
            <w:pPr>
              <w:shd w:val="clear" w:color="auto" w:fill="FFFFFF" w:themeFill="background1"/>
              <w:spacing w:after="0" w:line="360" w:lineRule="auto"/>
              <w:rPr>
                <w:rFonts w:ascii="Times New Roman" w:hAnsi="Times New Roman"/>
                <w:b/>
                <w:color w:val="auto"/>
                <w:sz w:val="24"/>
                <w:szCs w:val="24"/>
                <w:highlight w:val="none"/>
                <w:lang w:val="en-US"/>
              </w:rPr>
            </w:pPr>
          </w:p>
        </w:tc>
        <w:tc>
          <w:tcPr>
            <w:tcW w:w="850" w:type="dxa"/>
            <w:vMerge w:val="continue"/>
            <w:shd w:val="clear" w:color="auto" w:fill="FFFFFF" w:themeFill="background1"/>
          </w:tcPr>
          <w:p>
            <w:pPr>
              <w:shd w:val="clear" w:color="auto" w:fill="FFFFFF" w:themeFill="background1"/>
              <w:spacing w:after="0" w:line="360" w:lineRule="auto"/>
              <w:rPr>
                <w:rFonts w:ascii="Times New Roman" w:hAnsi="Times New Roman"/>
                <w:b/>
                <w:color w:val="auto"/>
                <w:sz w:val="24"/>
                <w:szCs w:val="24"/>
                <w:highlight w:val="none"/>
                <w:lang w:val="en-US"/>
              </w:rPr>
            </w:pPr>
          </w:p>
        </w:tc>
        <w:tc>
          <w:tcPr>
            <w:tcW w:w="992" w:type="dxa"/>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Total</w:t>
            </w:r>
          </w:p>
        </w:tc>
        <w:tc>
          <w:tcPr>
            <w:tcW w:w="1134" w:type="dxa"/>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M</w:t>
            </w:r>
          </w:p>
        </w:tc>
        <w:tc>
          <w:tcPr>
            <w:tcW w:w="891" w:type="dxa"/>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F</w:t>
            </w:r>
          </w:p>
        </w:tc>
        <w:tc>
          <w:tcPr>
            <w:tcW w:w="1170" w:type="dxa"/>
            <w:shd w:val="clear" w:color="auto" w:fill="FFFFFF" w:themeFill="background1"/>
          </w:tcPr>
          <w:p>
            <w:pPr>
              <w:shd w:val="clear" w:color="auto" w:fill="FFFFFF" w:themeFill="background1"/>
              <w:spacing w:after="0" w:line="360" w:lineRule="auto"/>
              <w:rPr>
                <w:rFonts w:ascii="Times New Roman" w:hAnsi="Times New Roman"/>
                <w:b/>
                <w:color w:val="auto"/>
                <w:sz w:val="24"/>
                <w:szCs w:val="24"/>
                <w:highlight w:val="none"/>
                <w:lang w:val="en-US"/>
              </w:rPr>
            </w:pPr>
          </w:p>
        </w:tc>
        <w:tc>
          <w:tcPr>
            <w:tcW w:w="990" w:type="dxa"/>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Total</w:t>
            </w:r>
          </w:p>
        </w:tc>
        <w:tc>
          <w:tcPr>
            <w:tcW w:w="900" w:type="dxa"/>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M</w:t>
            </w:r>
          </w:p>
        </w:tc>
        <w:tc>
          <w:tcPr>
            <w:tcW w:w="900" w:type="dxa"/>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hd w:val="clear" w:color="auto" w:fill="FFFFFF" w:themeFill="background1"/>
              <w:spacing w:after="0" w:line="360" w:lineRule="auto"/>
              <w:jc w:val="both"/>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K.G</w:t>
            </w:r>
          </w:p>
        </w:tc>
        <w:tc>
          <w:tcPr>
            <w:tcW w:w="850" w:type="dxa"/>
            <w:shd w:val="clear" w:color="auto" w:fill="FFFFFF" w:themeFill="background1"/>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63</w:t>
            </w:r>
          </w:p>
        </w:tc>
        <w:tc>
          <w:tcPr>
            <w:tcW w:w="992"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3656</w:t>
            </w:r>
          </w:p>
        </w:tc>
        <w:tc>
          <w:tcPr>
            <w:tcW w:w="1134"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1,885</w:t>
            </w:r>
          </w:p>
        </w:tc>
        <w:tc>
          <w:tcPr>
            <w:tcW w:w="891"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1,771</w:t>
            </w:r>
          </w:p>
        </w:tc>
        <w:tc>
          <w:tcPr>
            <w:tcW w:w="1170" w:type="dxa"/>
            <w:shd w:val="clear" w:color="auto" w:fill="FFFFFF" w:themeFill="background1"/>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25</w:t>
            </w:r>
          </w:p>
        </w:tc>
        <w:tc>
          <w:tcPr>
            <w:tcW w:w="99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1,090</w:t>
            </w:r>
          </w:p>
        </w:tc>
        <w:tc>
          <w:tcPr>
            <w:tcW w:w="90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560</w:t>
            </w:r>
          </w:p>
        </w:tc>
        <w:tc>
          <w:tcPr>
            <w:tcW w:w="90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hd w:val="clear" w:color="auto" w:fill="FFFFFF" w:themeFill="background1"/>
              <w:spacing w:after="0" w:line="360" w:lineRule="auto"/>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Primary</w:t>
            </w:r>
          </w:p>
        </w:tc>
        <w:tc>
          <w:tcPr>
            <w:tcW w:w="850" w:type="dxa"/>
            <w:shd w:val="clear" w:color="auto" w:fill="FFFFFF" w:themeFill="background1"/>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63</w:t>
            </w:r>
          </w:p>
        </w:tc>
        <w:tc>
          <w:tcPr>
            <w:tcW w:w="992"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10,171</w:t>
            </w:r>
          </w:p>
        </w:tc>
        <w:tc>
          <w:tcPr>
            <w:tcW w:w="1134"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5,278</w:t>
            </w:r>
          </w:p>
        </w:tc>
        <w:tc>
          <w:tcPr>
            <w:tcW w:w="891"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4,893</w:t>
            </w:r>
          </w:p>
        </w:tc>
        <w:tc>
          <w:tcPr>
            <w:tcW w:w="1170" w:type="dxa"/>
            <w:shd w:val="clear" w:color="auto" w:fill="FFFFFF" w:themeFill="background1"/>
          </w:tcPr>
          <w:p>
            <w:pPr>
              <w:shd w:val="clear" w:color="auto" w:fill="FFFFFF" w:themeFill="background1"/>
              <w:spacing w:after="0" w:line="360" w:lineRule="auto"/>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 xml:space="preserve">       25</w:t>
            </w:r>
          </w:p>
        </w:tc>
        <w:tc>
          <w:tcPr>
            <w:tcW w:w="99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2,314</w:t>
            </w:r>
          </w:p>
        </w:tc>
        <w:tc>
          <w:tcPr>
            <w:tcW w:w="90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1,171</w:t>
            </w:r>
          </w:p>
        </w:tc>
        <w:tc>
          <w:tcPr>
            <w:tcW w:w="90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1,143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hd w:val="clear" w:color="auto" w:fill="FFFFFF" w:themeFill="background1"/>
              <w:spacing w:after="0" w:line="360" w:lineRule="auto"/>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J.H.S</w:t>
            </w:r>
          </w:p>
        </w:tc>
        <w:tc>
          <w:tcPr>
            <w:tcW w:w="850" w:type="dxa"/>
            <w:shd w:val="clear" w:color="auto" w:fill="FFFFFF" w:themeFill="background1"/>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62</w:t>
            </w:r>
          </w:p>
        </w:tc>
        <w:tc>
          <w:tcPr>
            <w:tcW w:w="992"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4933</w:t>
            </w:r>
          </w:p>
        </w:tc>
        <w:tc>
          <w:tcPr>
            <w:tcW w:w="1134"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2,535</w:t>
            </w:r>
          </w:p>
        </w:tc>
        <w:tc>
          <w:tcPr>
            <w:tcW w:w="891"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2,398</w:t>
            </w:r>
          </w:p>
        </w:tc>
        <w:tc>
          <w:tcPr>
            <w:tcW w:w="1170" w:type="dxa"/>
            <w:shd w:val="clear" w:color="auto" w:fill="FFFFFF" w:themeFill="background1"/>
          </w:tcPr>
          <w:p>
            <w:pPr>
              <w:shd w:val="clear" w:color="auto" w:fill="FFFFFF" w:themeFill="background1"/>
              <w:spacing w:after="0" w:line="360" w:lineRule="auto"/>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 xml:space="preserve">      12</w:t>
            </w:r>
          </w:p>
        </w:tc>
        <w:tc>
          <w:tcPr>
            <w:tcW w:w="99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411</w:t>
            </w:r>
          </w:p>
        </w:tc>
        <w:tc>
          <w:tcPr>
            <w:tcW w:w="90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212</w:t>
            </w:r>
          </w:p>
        </w:tc>
        <w:tc>
          <w:tcPr>
            <w:tcW w:w="90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hd w:val="clear" w:color="auto" w:fill="FFFFFF" w:themeFill="background1"/>
              <w:spacing w:after="0" w:line="360" w:lineRule="auto"/>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 xml:space="preserve">S.H.S </w:t>
            </w:r>
          </w:p>
        </w:tc>
        <w:tc>
          <w:tcPr>
            <w:tcW w:w="850" w:type="dxa"/>
            <w:shd w:val="clear" w:color="auto" w:fill="FFFFFF" w:themeFill="background1"/>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3</w:t>
            </w:r>
          </w:p>
        </w:tc>
        <w:tc>
          <w:tcPr>
            <w:tcW w:w="992"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2,162</w:t>
            </w:r>
          </w:p>
        </w:tc>
        <w:tc>
          <w:tcPr>
            <w:tcW w:w="1134"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1,071</w:t>
            </w:r>
          </w:p>
        </w:tc>
        <w:tc>
          <w:tcPr>
            <w:tcW w:w="891"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1,091</w:t>
            </w:r>
          </w:p>
        </w:tc>
        <w:tc>
          <w:tcPr>
            <w:tcW w:w="1170" w:type="dxa"/>
            <w:shd w:val="clear" w:color="auto" w:fill="FFFFFF" w:themeFill="background1"/>
          </w:tcPr>
          <w:p>
            <w:pPr>
              <w:shd w:val="clear" w:color="auto" w:fill="FFFFFF" w:themeFill="background1"/>
              <w:spacing w:after="0" w:line="360" w:lineRule="auto"/>
              <w:rPr>
                <w:rFonts w:ascii="Times New Roman" w:hAnsi="Times New Roman"/>
                <w:color w:val="auto"/>
                <w:sz w:val="24"/>
                <w:szCs w:val="24"/>
                <w:highlight w:val="none"/>
                <w:lang w:val="en-US"/>
              </w:rPr>
            </w:pPr>
          </w:p>
        </w:tc>
        <w:tc>
          <w:tcPr>
            <w:tcW w:w="99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p>
        </w:tc>
        <w:tc>
          <w:tcPr>
            <w:tcW w:w="90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p>
        </w:tc>
        <w:tc>
          <w:tcPr>
            <w:tcW w:w="900" w:type="dxa"/>
          </w:tcPr>
          <w:p>
            <w:pPr>
              <w:shd w:val="clear" w:color="auto" w:fill="FFFFFF" w:themeFill="background1"/>
              <w:spacing w:after="0" w:line="360" w:lineRule="auto"/>
              <w:jc w:val="center"/>
              <w:rPr>
                <w:rFonts w:ascii="Times New Roman" w:hAnsi="Times New Roman"/>
                <w:color w:val="auto"/>
                <w:sz w:val="24"/>
                <w:szCs w:val="24"/>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hd w:val="clear" w:color="auto" w:fill="FFFFFF" w:themeFill="background1"/>
              <w:spacing w:after="0" w:line="360" w:lineRule="auto"/>
              <w:rPr>
                <w:rFonts w:ascii="Times New Roman" w:hAnsi="Times New Roman"/>
                <w:b/>
                <w:color w:val="auto"/>
                <w:sz w:val="24"/>
                <w:szCs w:val="24"/>
                <w:highlight w:val="none"/>
                <w:lang w:val="en-US"/>
              </w:rPr>
            </w:pPr>
            <w:r>
              <w:rPr>
                <w:rFonts w:ascii="Times New Roman" w:hAnsi="Times New Roman"/>
                <w:b/>
                <w:color w:val="auto"/>
                <w:sz w:val="24"/>
                <w:szCs w:val="24"/>
                <w:highlight w:val="none"/>
                <w:lang w:val="en-US"/>
              </w:rPr>
              <w:t>Total</w:t>
            </w:r>
          </w:p>
        </w:tc>
        <w:tc>
          <w:tcPr>
            <w:tcW w:w="850" w:type="dxa"/>
            <w:shd w:val="clear" w:color="auto" w:fill="FFFFFF" w:themeFill="background1"/>
            <w:vAlign w:val="center"/>
          </w:tcPr>
          <w:p>
            <w:pPr>
              <w:shd w:val="clear" w:color="auto" w:fill="FFFFFF" w:themeFill="background1"/>
              <w:spacing w:after="0" w:line="240" w:lineRule="auto"/>
              <w:jc w:val="center"/>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lang w:val="en-US"/>
              </w:rPr>
              <w:t>191</w:t>
            </w:r>
          </w:p>
        </w:tc>
        <w:tc>
          <w:tcPr>
            <w:tcW w:w="992" w:type="dxa"/>
            <w:vAlign w:val="center"/>
          </w:tcPr>
          <w:p>
            <w:pPr>
              <w:shd w:val="clear" w:color="auto" w:fill="FFFFFF" w:themeFill="background1"/>
              <w:spacing w:after="0" w:line="240" w:lineRule="auto"/>
              <w:jc w:val="center"/>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lang w:val="en-US"/>
              </w:rPr>
              <w:t>20,922</w:t>
            </w:r>
          </w:p>
        </w:tc>
        <w:tc>
          <w:tcPr>
            <w:tcW w:w="1134" w:type="dxa"/>
            <w:vAlign w:val="center"/>
          </w:tcPr>
          <w:p>
            <w:pPr>
              <w:shd w:val="clear" w:color="auto" w:fill="FFFFFF" w:themeFill="background1"/>
              <w:spacing w:after="0" w:line="240" w:lineRule="auto"/>
              <w:jc w:val="center"/>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lang w:val="en-US"/>
              </w:rPr>
              <w:t>10,802</w:t>
            </w:r>
          </w:p>
        </w:tc>
        <w:tc>
          <w:tcPr>
            <w:tcW w:w="891" w:type="dxa"/>
            <w:vAlign w:val="center"/>
          </w:tcPr>
          <w:p>
            <w:pPr>
              <w:shd w:val="clear" w:color="auto" w:fill="FFFFFF" w:themeFill="background1"/>
              <w:spacing w:after="0" w:line="240" w:lineRule="auto"/>
              <w:jc w:val="center"/>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lang w:val="en-US"/>
              </w:rPr>
              <w:t>10,093</w:t>
            </w:r>
          </w:p>
        </w:tc>
        <w:tc>
          <w:tcPr>
            <w:tcW w:w="1170" w:type="dxa"/>
            <w:shd w:val="clear" w:color="auto" w:fill="FFFFFF" w:themeFill="background1"/>
            <w:vAlign w:val="center"/>
          </w:tcPr>
          <w:p>
            <w:pPr>
              <w:shd w:val="clear" w:color="auto" w:fill="FFFFFF" w:themeFill="background1"/>
              <w:spacing w:after="0" w:line="240" w:lineRule="auto"/>
              <w:jc w:val="center"/>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lang w:val="en-US"/>
              </w:rPr>
              <w:t>62</w:t>
            </w:r>
          </w:p>
        </w:tc>
        <w:tc>
          <w:tcPr>
            <w:tcW w:w="990" w:type="dxa"/>
            <w:vAlign w:val="center"/>
          </w:tcPr>
          <w:p>
            <w:pPr>
              <w:shd w:val="clear" w:color="auto" w:fill="FFFFFF" w:themeFill="background1"/>
              <w:spacing w:after="0" w:line="240" w:lineRule="auto"/>
              <w:jc w:val="center"/>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lang w:val="en-US"/>
              </w:rPr>
              <w:t>3,815</w:t>
            </w:r>
          </w:p>
        </w:tc>
        <w:tc>
          <w:tcPr>
            <w:tcW w:w="900" w:type="dxa"/>
            <w:vAlign w:val="center"/>
          </w:tcPr>
          <w:p>
            <w:pPr>
              <w:shd w:val="clear" w:color="auto" w:fill="FFFFFF" w:themeFill="background1"/>
              <w:spacing w:after="0" w:line="240" w:lineRule="auto"/>
              <w:jc w:val="center"/>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lang w:val="en-US"/>
              </w:rPr>
              <w:t>1,943</w:t>
            </w:r>
          </w:p>
        </w:tc>
        <w:tc>
          <w:tcPr>
            <w:tcW w:w="900" w:type="dxa"/>
            <w:vAlign w:val="center"/>
          </w:tcPr>
          <w:p>
            <w:pPr>
              <w:shd w:val="clear" w:color="auto" w:fill="FFFFFF" w:themeFill="background1"/>
              <w:spacing w:after="0" w:line="240" w:lineRule="auto"/>
              <w:jc w:val="center"/>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lang w:val="en-US"/>
              </w:rPr>
              <w:t>1,872</w:t>
            </w:r>
          </w:p>
        </w:tc>
      </w:tr>
    </w:tbl>
    <w:p>
      <w:pPr>
        <w:shd w:val="clear" w:color="auto" w:fill="FFFFFF" w:themeFill="background1"/>
        <w:spacing w:line="360" w:lineRule="auto"/>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Source: DED, New Abirem, June, 2022 </w:t>
      </w:r>
    </w:p>
    <w:p>
      <w:pPr>
        <w:shd w:val="clear" w:color="auto" w:fill="FFFFFF" w:themeFill="background1"/>
        <w:spacing w:after="0" w:line="240" w:lineRule="auto"/>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Table 2: Total number of teachers in the district as at June, 2022</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1457"/>
        <w:gridCol w:w="632"/>
        <w:gridCol w:w="632"/>
        <w:gridCol w:w="632"/>
        <w:gridCol w:w="632"/>
        <w:gridCol w:w="11"/>
        <w:gridCol w:w="1258"/>
        <w:gridCol w:w="632"/>
        <w:gridCol w:w="632"/>
        <w:gridCol w:w="632"/>
        <w:gridCol w:w="632"/>
        <w:gridCol w:w="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8" w:type="dxa"/>
          </w:tcPr>
          <w:p>
            <w:pPr>
              <w:shd w:val="clear" w:color="auto" w:fill="FFFFFF" w:themeFill="background1"/>
              <w:spacing w:after="0" w:line="360" w:lineRule="auto"/>
              <w:rPr>
                <w:rFonts w:ascii="Times New Roman" w:hAnsi="Times New Roman"/>
                <w:b/>
                <w:bCs/>
                <w:color w:val="auto"/>
                <w:sz w:val="24"/>
                <w:szCs w:val="24"/>
                <w:highlight w:val="none"/>
                <w:lang w:val="en-US"/>
              </w:rPr>
            </w:pPr>
            <w:r>
              <w:rPr>
                <w:rFonts w:ascii="Times New Roman" w:hAnsi="Times New Roman"/>
                <w:b/>
                <w:bCs/>
                <w:color w:val="auto"/>
                <w:sz w:val="24"/>
                <w:szCs w:val="24"/>
                <w:highlight w:val="none"/>
              </w:rPr>
              <w:t>Schools</w:t>
            </w:r>
          </w:p>
        </w:tc>
        <w:tc>
          <w:tcPr>
            <w:tcW w:w="7793" w:type="dxa"/>
            <w:gridSpan w:val="12"/>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Number of teachers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8" w:type="dxa"/>
            <w:vMerge w:val="restart"/>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w:t>
            </w:r>
          </w:p>
        </w:tc>
        <w:tc>
          <w:tcPr>
            <w:tcW w:w="3996" w:type="dxa"/>
            <w:gridSpan w:val="6"/>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Public</w:t>
            </w:r>
          </w:p>
        </w:tc>
        <w:tc>
          <w:tcPr>
            <w:tcW w:w="3797" w:type="dxa"/>
            <w:gridSpan w:val="6"/>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Private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465" w:hRule="atLeast"/>
        </w:trPr>
        <w:tc>
          <w:tcPr>
            <w:tcW w:w="878" w:type="dxa"/>
            <w:vMerge w:val="continue"/>
          </w:tcPr>
          <w:p>
            <w:pPr>
              <w:shd w:val="clear" w:color="auto" w:fill="FFFFFF" w:themeFill="background1"/>
              <w:spacing w:after="0" w:line="360" w:lineRule="auto"/>
              <w:rPr>
                <w:rFonts w:ascii="Times New Roman" w:hAnsi="Times New Roman"/>
                <w:b/>
                <w:bCs/>
                <w:color w:val="auto"/>
                <w:sz w:val="24"/>
                <w:szCs w:val="24"/>
                <w:highlight w:val="none"/>
              </w:rPr>
            </w:pPr>
          </w:p>
        </w:tc>
        <w:tc>
          <w:tcPr>
            <w:tcW w:w="1457"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Total</w:t>
            </w:r>
          </w:p>
        </w:tc>
        <w:tc>
          <w:tcPr>
            <w:tcW w:w="632"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Trained</w:t>
            </w:r>
          </w:p>
        </w:tc>
        <w:tc>
          <w:tcPr>
            <w:tcW w:w="632"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Untrained</w:t>
            </w:r>
          </w:p>
        </w:tc>
        <w:tc>
          <w:tcPr>
            <w:tcW w:w="632"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Male</w:t>
            </w:r>
          </w:p>
        </w:tc>
        <w:tc>
          <w:tcPr>
            <w:tcW w:w="632"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Female</w:t>
            </w:r>
          </w:p>
        </w:tc>
        <w:tc>
          <w:tcPr>
            <w:tcW w:w="1269" w:type="dxa"/>
            <w:gridSpan w:val="2"/>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Total </w:t>
            </w:r>
          </w:p>
        </w:tc>
        <w:tc>
          <w:tcPr>
            <w:tcW w:w="632"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Trained</w:t>
            </w:r>
          </w:p>
        </w:tc>
        <w:tc>
          <w:tcPr>
            <w:tcW w:w="632"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Untrained</w:t>
            </w:r>
          </w:p>
        </w:tc>
        <w:tc>
          <w:tcPr>
            <w:tcW w:w="632"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Male</w:t>
            </w:r>
          </w:p>
        </w:tc>
        <w:tc>
          <w:tcPr>
            <w:tcW w:w="632" w:type="dxa"/>
            <w:textDirection w:val="btLr"/>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Female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315" w:hRule="atLeast"/>
        </w:trPr>
        <w:tc>
          <w:tcPr>
            <w:tcW w:w="878"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K.G</w:t>
            </w:r>
          </w:p>
        </w:tc>
        <w:tc>
          <w:tcPr>
            <w:tcW w:w="1457"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125</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123</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2</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11</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114</w:t>
            </w:r>
          </w:p>
        </w:tc>
        <w:tc>
          <w:tcPr>
            <w:tcW w:w="1269" w:type="dxa"/>
            <w:gridSpan w:val="2"/>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49</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6</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43</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9</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315" w:hRule="atLeast"/>
        </w:trPr>
        <w:tc>
          <w:tcPr>
            <w:tcW w:w="878"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Primary</w:t>
            </w:r>
          </w:p>
        </w:tc>
        <w:tc>
          <w:tcPr>
            <w:tcW w:w="1457"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362</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359</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3</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221</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141</w:t>
            </w:r>
          </w:p>
        </w:tc>
        <w:tc>
          <w:tcPr>
            <w:tcW w:w="1269" w:type="dxa"/>
            <w:gridSpan w:val="2"/>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173</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32</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141</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118</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315" w:hRule="atLeast"/>
        </w:trPr>
        <w:tc>
          <w:tcPr>
            <w:tcW w:w="878"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J.H.S</w:t>
            </w:r>
          </w:p>
        </w:tc>
        <w:tc>
          <w:tcPr>
            <w:tcW w:w="1457"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364</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361</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3</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274</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90</w:t>
            </w:r>
          </w:p>
        </w:tc>
        <w:tc>
          <w:tcPr>
            <w:tcW w:w="1269" w:type="dxa"/>
            <w:gridSpan w:val="2"/>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50</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18</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32</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42</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315" w:hRule="atLeast"/>
        </w:trPr>
        <w:tc>
          <w:tcPr>
            <w:tcW w:w="878"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S.H.S</w:t>
            </w:r>
          </w:p>
        </w:tc>
        <w:tc>
          <w:tcPr>
            <w:tcW w:w="1457"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175</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152</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23</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135</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40</w:t>
            </w:r>
          </w:p>
        </w:tc>
        <w:tc>
          <w:tcPr>
            <w:tcW w:w="1269" w:type="dxa"/>
            <w:gridSpan w:val="2"/>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 </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 </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 </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 </w:t>
            </w:r>
          </w:p>
        </w:tc>
        <w:tc>
          <w:tcPr>
            <w:tcW w:w="632" w:type="dxa"/>
          </w:tcPr>
          <w:p>
            <w:pPr>
              <w:shd w:val="clear" w:color="auto" w:fill="FFFFFF" w:themeFill="background1"/>
              <w:spacing w:after="0" w:line="360" w:lineRule="auto"/>
              <w:rPr>
                <w:rFonts w:ascii="Times New Roman" w:hAnsi="Times New Roman"/>
                <w:color w:val="auto"/>
                <w:sz w:val="24"/>
                <w:szCs w:val="24"/>
                <w:highlight w:val="none"/>
              </w:rPr>
            </w:pPr>
            <w:r>
              <w:rPr>
                <w:rFonts w:ascii="Times New Roman" w:hAnsi="Times New Roman"/>
                <w:color w:val="auto"/>
                <w:sz w:val="24"/>
                <w:szCs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315" w:hRule="atLeast"/>
        </w:trPr>
        <w:tc>
          <w:tcPr>
            <w:tcW w:w="878"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Total</w:t>
            </w:r>
          </w:p>
        </w:tc>
        <w:tc>
          <w:tcPr>
            <w:tcW w:w="1457"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1,026</w:t>
            </w:r>
          </w:p>
        </w:tc>
        <w:tc>
          <w:tcPr>
            <w:tcW w:w="632"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995</w:t>
            </w:r>
          </w:p>
        </w:tc>
        <w:tc>
          <w:tcPr>
            <w:tcW w:w="632"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31</w:t>
            </w:r>
          </w:p>
        </w:tc>
        <w:tc>
          <w:tcPr>
            <w:tcW w:w="632"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641</w:t>
            </w:r>
          </w:p>
        </w:tc>
        <w:tc>
          <w:tcPr>
            <w:tcW w:w="632"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385</w:t>
            </w:r>
          </w:p>
        </w:tc>
        <w:tc>
          <w:tcPr>
            <w:tcW w:w="1269" w:type="dxa"/>
            <w:gridSpan w:val="2"/>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272</w:t>
            </w:r>
          </w:p>
        </w:tc>
        <w:tc>
          <w:tcPr>
            <w:tcW w:w="632"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56</w:t>
            </w:r>
          </w:p>
        </w:tc>
        <w:tc>
          <w:tcPr>
            <w:tcW w:w="632"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216</w:t>
            </w:r>
          </w:p>
        </w:tc>
        <w:tc>
          <w:tcPr>
            <w:tcW w:w="632"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169</w:t>
            </w:r>
          </w:p>
        </w:tc>
        <w:tc>
          <w:tcPr>
            <w:tcW w:w="632" w:type="dxa"/>
          </w:tcPr>
          <w:p>
            <w:pPr>
              <w:shd w:val="clear" w:color="auto" w:fill="FFFFFF" w:themeFill="background1"/>
              <w:spacing w:after="0"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103</w:t>
            </w:r>
          </w:p>
        </w:tc>
      </w:tr>
    </w:tbl>
    <w:p>
      <w:pPr>
        <w:shd w:val="clear" w:color="auto" w:fill="FFFFFF" w:themeFill="background1"/>
        <w:spacing w:line="360" w:lineRule="auto"/>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Source: GES, EMIS, New Abirem, June, 2022</w:t>
      </w: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Analysis of the above table indicates that the district has One Thousand Two Hundred and Ninety-Eight (1,298) teachers. Out of which 81% are trained whiles 19% are untrained. The male female teacher ratio is 1:0.60 approximately 1:1. </w:t>
      </w: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Analysis of BECE performance for the District for the past three years is presented in the table below. </w:t>
      </w: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Table.3.</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4050"/>
        <w:gridCol w:w="4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tcPr>
          <w:p>
            <w:pPr>
              <w:spacing w:after="0" w:line="360" w:lineRule="auto"/>
              <w:jc w:val="both"/>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Year</w:t>
            </w:r>
          </w:p>
        </w:tc>
        <w:tc>
          <w:tcPr>
            <w:tcW w:w="8455" w:type="dxa"/>
            <w:gridSpan w:val="2"/>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Both Public and Private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pPr>
              <w:spacing w:after="0" w:line="360" w:lineRule="auto"/>
              <w:jc w:val="both"/>
              <w:rPr>
                <w:rFonts w:ascii="Times New Roman" w:hAnsi="Times New Roman"/>
                <w:color w:val="auto"/>
                <w:sz w:val="24"/>
                <w:szCs w:val="24"/>
                <w:highlight w:val="none"/>
                <w:lang w:val="en-US"/>
              </w:rPr>
            </w:pPr>
          </w:p>
        </w:tc>
        <w:tc>
          <w:tcPr>
            <w:tcW w:w="4050" w:type="dxa"/>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Male</w:t>
            </w:r>
          </w:p>
        </w:tc>
        <w:tc>
          <w:tcPr>
            <w:tcW w:w="4405" w:type="dxa"/>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Female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Pr>
          <w:p>
            <w:pPr>
              <w:spacing w:after="0" w:line="360" w:lineRule="auto"/>
              <w:jc w:val="both"/>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2018</w:t>
            </w:r>
          </w:p>
        </w:tc>
        <w:tc>
          <w:tcPr>
            <w:tcW w:w="4050" w:type="dxa"/>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82.84%</w:t>
            </w:r>
          </w:p>
        </w:tc>
        <w:tc>
          <w:tcPr>
            <w:tcW w:w="4405" w:type="dxa"/>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82.11%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Pr>
          <w:p>
            <w:pPr>
              <w:spacing w:after="0" w:line="360" w:lineRule="auto"/>
              <w:jc w:val="both"/>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2019</w:t>
            </w:r>
          </w:p>
        </w:tc>
        <w:tc>
          <w:tcPr>
            <w:tcW w:w="4050" w:type="dxa"/>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67.56%</w:t>
            </w:r>
          </w:p>
        </w:tc>
        <w:tc>
          <w:tcPr>
            <w:tcW w:w="4405" w:type="dxa"/>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72.65%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Pr>
          <w:p>
            <w:pPr>
              <w:spacing w:after="0" w:line="360" w:lineRule="auto"/>
              <w:jc w:val="both"/>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2020</w:t>
            </w:r>
          </w:p>
        </w:tc>
        <w:tc>
          <w:tcPr>
            <w:tcW w:w="4050" w:type="dxa"/>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72.43%</w:t>
            </w:r>
          </w:p>
        </w:tc>
        <w:tc>
          <w:tcPr>
            <w:tcW w:w="4405" w:type="dxa"/>
          </w:tcPr>
          <w:p>
            <w:pPr>
              <w:spacing w:after="0" w:line="360" w:lineRule="auto"/>
              <w:jc w:val="center"/>
              <w:rPr>
                <w:rFonts w:ascii="Times New Roman" w:hAnsi="Times New Roman"/>
                <w:color w:val="auto"/>
                <w:sz w:val="24"/>
                <w:szCs w:val="24"/>
                <w:highlight w:val="none"/>
                <w:lang w:val="en-US"/>
              </w:rPr>
            </w:pPr>
            <w:r>
              <w:rPr>
                <w:rFonts w:ascii="Times New Roman" w:hAnsi="Times New Roman"/>
                <w:color w:val="auto"/>
                <w:sz w:val="24"/>
                <w:szCs w:val="24"/>
                <w:highlight w:val="none"/>
                <w:lang w:val="en-US"/>
              </w:rPr>
              <w:t>72.63%</w:t>
            </w:r>
          </w:p>
        </w:tc>
      </w:tr>
    </w:tbl>
    <w:p>
      <w:pPr>
        <w:shd w:val="clear" w:color="auto" w:fill="FFFFFF" w:themeFill="background1"/>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 Source: GES, BNDA-2021</w:t>
      </w: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jc w:val="both"/>
        <w:rPr>
          <w:rFonts w:ascii="Times New Roman" w:hAnsi="Times New Roman" w:cs="Times New Roman"/>
          <w:color w:val="auto"/>
          <w:sz w:val="24"/>
          <w:szCs w:val="24"/>
          <w:highlight w:val="none"/>
          <w:lang w:val="en-US"/>
        </w:rPr>
      </w:pPr>
      <w:r>
        <w:rPr>
          <w:rFonts w:ascii="Times New Roman" w:hAnsi="Times New Roman" w:cs="Times New Roman"/>
          <w:b/>
          <w:color w:val="auto"/>
          <w:sz w:val="24"/>
          <w:szCs w:val="24"/>
          <w:highlight w:val="none"/>
          <w:lang w:val="en-US"/>
        </w:rPr>
        <w:drawing>
          <wp:inline distT="0" distB="0" distL="0" distR="0">
            <wp:extent cx="5997575" cy="5333365"/>
            <wp:effectExtent l="0" t="0" r="3175" b="635"/>
            <wp:docPr id="3" name="Picture 3" descr="C:\Users\Frederick Antwi\Desktop\2021 Files\MTDP\BNDA Maps\IMG-20210616-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Frederick Antwi\Desktop\2021 Files\MTDP\BNDA Maps\IMG-20210616-WA002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077549" cy="5404300"/>
                    </a:xfrm>
                    <a:prstGeom prst="rect">
                      <a:avLst/>
                    </a:prstGeom>
                    <a:noFill/>
                    <a:ln>
                      <a:noFill/>
                    </a:ln>
                  </pic:spPr>
                </pic:pic>
              </a:graphicData>
            </a:graphic>
          </wp:inline>
        </w:drawing>
      </w:r>
    </w:p>
    <w:p>
      <w:pPr>
        <w:numPr>
          <w:ilvl w:val="1"/>
          <w:numId w:val="10"/>
        </w:numPr>
        <w:spacing w:after="200" w:line="360" w:lineRule="auto"/>
        <w:contextualSpacing/>
        <w:jc w:val="both"/>
        <w:rPr>
          <w:rFonts w:ascii="Times New Roman" w:hAnsi="Times New Roman" w:cs="Times New Roman" w:eastAsiaTheme="minorEastAsia"/>
          <w:b/>
          <w:color w:val="auto"/>
          <w:sz w:val="24"/>
          <w:szCs w:val="24"/>
          <w:highlight w:val="none"/>
          <w:lang w:val="en-US"/>
        </w:rPr>
      </w:pPr>
      <w:r>
        <w:rPr>
          <w:rFonts w:ascii="Times New Roman" w:hAnsi="Times New Roman" w:cs="Times New Roman" w:eastAsiaTheme="minorEastAsia"/>
          <w:b/>
          <w:color w:val="auto"/>
          <w:sz w:val="24"/>
          <w:szCs w:val="24"/>
          <w:highlight w:val="none"/>
          <w:lang w:val="en-US"/>
        </w:rPr>
        <w:t>Health Service Delivery</w:t>
      </w:r>
    </w:p>
    <w:p>
      <w:pPr>
        <w:keepNext/>
        <w:keepLines/>
        <w:spacing w:after="0" w:line="360" w:lineRule="auto"/>
        <w:jc w:val="both"/>
        <w:outlineLvl w:val="2"/>
        <w:rPr>
          <w:rFonts w:ascii="Times New Roman" w:hAnsi="Times New Roman" w:cs="Times New Roman" w:eastAsiaTheme="majorEastAsia"/>
          <w:b/>
          <w:color w:val="auto"/>
          <w:sz w:val="24"/>
          <w:szCs w:val="24"/>
          <w:highlight w:val="none"/>
          <w:lang w:val="en-US" w:bidi="en-US"/>
        </w:rPr>
      </w:pPr>
      <w:r>
        <w:rPr>
          <w:rFonts w:ascii="Times New Roman" w:hAnsi="Times New Roman" w:cs="Times New Roman" w:eastAsiaTheme="majorEastAsia"/>
          <w:b/>
          <w:color w:val="auto"/>
          <w:sz w:val="24"/>
          <w:szCs w:val="24"/>
          <w:highlight w:val="none"/>
          <w:lang w:val="en-US" w:bidi="en-US"/>
        </w:rPr>
        <w:t>6.2.1 Health</w:t>
      </w:r>
    </w:p>
    <w:p>
      <w:pPr>
        <w:spacing w:after="20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infrastructure of health delivery system of the District consists of one (1) government hospital at New Abirem, 1 private hospital at Afosu, 3 private clinics, one at Afosu and 2 at New Abirem and 5 Reproductive and Child Health Centers at Nkwarteng, Adausena, Afosu, Amuana Praso and Tweapease. The District can boost of 26 demarcated CHPS centers. Fifteen (15) of the demarcated CHPS centres are operational with 27 herbalists and spiritual healers in the entire District.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District’s government hospital located at New Abirem has a 69-bed ward including Emergency Ward, Theatre, Medical laboratory, Pharmacy Department, Dental clinic, Out-Patients Department ,an X-Ray Department and Eye Clinic;  the hospital however, has no Mortuary. However, most cases beyond the hospital are referred to Nkawkaw, Atibie, Akim Oda, Koforidua or Accra. </w:t>
      </w:r>
    </w:p>
    <w:p>
      <w:pPr>
        <w:spacing w:line="360" w:lineRule="auto"/>
        <w:jc w:val="both"/>
        <w:outlineLvl w:val="0"/>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hospital has only 3 doctors with 6 medical assistants, 1 Dental Surgeon, 1 Ophthalmic Nurse (ENT), 2 Biomedical Scientist, 2 Laboratory Technicians, 254 Nurses, 63Midwives and 6 Pharmacist with 2 Dispensary Assistants.  As at June 2022, </w:t>
      </w:r>
      <w:r>
        <w:rPr>
          <w:rFonts w:ascii="Times New Roman" w:hAnsi="Times New Roman" w:cs="Times New Roman"/>
          <w:color w:val="auto"/>
          <w:sz w:val="24"/>
          <w:szCs w:val="24"/>
          <w:highlight w:val="none"/>
          <w:shd w:val="clear" w:color="auto" w:fill="FFFFFF" w:themeFill="background1"/>
          <w:lang w:val="en-US"/>
        </w:rPr>
        <w:t>the District has</w:t>
      </w:r>
      <w:r>
        <w:rPr>
          <w:rFonts w:ascii="Times New Roman" w:hAnsi="Times New Roman" w:cs="Times New Roman"/>
          <w:b/>
          <w:color w:val="auto"/>
          <w:sz w:val="24"/>
          <w:szCs w:val="24"/>
          <w:highlight w:val="none"/>
          <w:shd w:val="clear" w:color="auto" w:fill="FFFFFF" w:themeFill="background1"/>
          <w:lang w:val="en-US"/>
        </w:rPr>
        <w:t xml:space="preserve"> </w:t>
      </w:r>
      <w:r>
        <w:rPr>
          <w:rFonts w:ascii="Times New Roman" w:hAnsi="Times New Roman" w:cs="Times New Roman"/>
          <w:color w:val="auto"/>
          <w:sz w:val="24"/>
          <w:szCs w:val="24"/>
          <w:highlight w:val="none"/>
          <w:shd w:val="clear" w:color="auto" w:fill="FFFFFF" w:themeFill="background1"/>
          <w:lang w:val="en-US"/>
        </w:rPr>
        <w:t xml:space="preserve">a Doctor – Population ratio of 1:33,840.67 </w:t>
      </w:r>
      <w:r>
        <w:rPr>
          <w:rFonts w:ascii="Times New Roman" w:hAnsi="Times New Roman" w:cs="Times New Roman"/>
          <w:color w:val="auto"/>
          <w:sz w:val="24"/>
          <w:szCs w:val="24"/>
          <w:highlight w:val="none"/>
          <w:lang w:val="en-US"/>
        </w:rPr>
        <w:t xml:space="preserve">as against national average of 1: 25,000 and WHO standard of 1: 1,000.  </w:t>
      </w:r>
    </w:p>
    <w:p>
      <w:pPr>
        <w:shd w:val="clear" w:color="auto" w:fill="FFFFFF" w:themeFill="background1"/>
        <w:spacing w:line="360" w:lineRule="auto"/>
        <w:jc w:val="both"/>
        <w:outlineLvl w:val="0"/>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Nurse Population ratio is also 1: 399.69 as against the national figure of 1:900. </w:t>
      </w:r>
    </w:p>
    <w:p>
      <w:pPr>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drawing>
          <wp:inline distT="0" distB="0" distL="0" distR="0">
            <wp:extent cx="5755005" cy="4638040"/>
            <wp:effectExtent l="0" t="0" r="0" b="0"/>
            <wp:docPr id="6" name="Picture 6" descr="C:\Users\Frederick Antwi\Desktop\2021 Files\MTDP\BNDA Maps\IMG-20210616-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Frederick Antwi\Desktop\2021 Files\MTDP\BNDA Maps\IMG-20210616-WA002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786286" cy="4663198"/>
                    </a:xfrm>
                    <a:prstGeom prst="rect">
                      <a:avLst/>
                    </a:prstGeom>
                    <a:noFill/>
                    <a:ln>
                      <a:noFill/>
                    </a:ln>
                  </pic:spPr>
                </pic:pic>
              </a:graphicData>
            </a:graphic>
          </wp:inline>
        </w:drawing>
      </w:r>
      <w:r>
        <w:rPr>
          <w:rFonts w:ascii="Times New Roman" w:hAnsi="Times New Roman" w:cs="Times New Roman"/>
          <w:b/>
          <w:color w:val="auto"/>
          <w:sz w:val="24"/>
          <w:szCs w:val="24"/>
          <w:highlight w:val="none"/>
          <w:lang w:val="en-US"/>
        </w:rPr>
        <w:br w:type="textWrapping" w:clear="all"/>
      </w:r>
    </w:p>
    <w:p>
      <w:pPr>
        <w:spacing w:line="360" w:lineRule="auto"/>
        <w:jc w:val="both"/>
        <w:outlineLvl w:val="0"/>
        <w:rPr>
          <w:rFonts w:ascii="Times New Roman" w:hAnsi="Times New Roman" w:cs="Times New Roman"/>
          <w:b/>
          <w:i/>
          <w:color w:val="auto"/>
          <w:sz w:val="24"/>
          <w:szCs w:val="24"/>
          <w:highlight w:val="none"/>
          <w:lang w:val="en-US"/>
        </w:rPr>
      </w:pPr>
    </w:p>
    <w:p>
      <w:pPr>
        <w:spacing w:line="360" w:lineRule="auto"/>
        <w:jc w:val="both"/>
        <w:outlineLvl w:val="0"/>
        <w:rPr>
          <w:rFonts w:ascii="Times New Roman" w:hAnsi="Times New Roman" w:cs="Times New Roman"/>
          <w:b/>
          <w:i/>
          <w:color w:val="auto"/>
          <w:sz w:val="24"/>
          <w:szCs w:val="24"/>
          <w:highlight w:val="none"/>
          <w:lang w:val="en-US"/>
        </w:rPr>
      </w:pPr>
    </w:p>
    <w:p>
      <w:pPr>
        <w:spacing w:line="360" w:lineRule="auto"/>
        <w:jc w:val="both"/>
        <w:outlineLvl w:val="0"/>
        <w:rPr>
          <w:rFonts w:ascii="Times New Roman" w:hAnsi="Times New Roman" w:cs="Times New Roman"/>
          <w:b/>
          <w:i/>
          <w:color w:val="auto"/>
          <w:sz w:val="24"/>
          <w:szCs w:val="24"/>
          <w:highlight w:val="none"/>
          <w:lang w:val="en-US"/>
        </w:rPr>
      </w:pPr>
    </w:p>
    <w:p>
      <w:pPr>
        <w:spacing w:line="360" w:lineRule="auto"/>
        <w:jc w:val="both"/>
        <w:outlineLvl w:val="0"/>
        <w:rPr>
          <w:rFonts w:ascii="Times New Roman" w:hAnsi="Times New Roman" w:cs="Times New Roman"/>
          <w:b/>
          <w:i/>
          <w:color w:val="auto"/>
          <w:sz w:val="24"/>
          <w:szCs w:val="24"/>
          <w:highlight w:val="none"/>
          <w:lang w:val="en-US"/>
        </w:rPr>
      </w:pPr>
      <w:r>
        <w:rPr>
          <w:rFonts w:ascii="Times New Roman" w:hAnsi="Times New Roman" w:cs="Times New Roman"/>
          <w:b/>
          <w:i/>
          <w:color w:val="auto"/>
          <w:sz w:val="24"/>
          <w:szCs w:val="24"/>
          <w:highlight w:val="none"/>
          <w:lang w:val="en-US"/>
        </w:rPr>
        <w:t xml:space="preserve">7.0 POLICE SERVICE </w:t>
      </w:r>
    </w:p>
    <w:p>
      <w:pPr>
        <w:spacing w:line="360" w:lineRule="auto"/>
        <w:jc w:val="both"/>
        <w:outlineLvl w:val="0"/>
        <w:rPr>
          <w:rFonts w:ascii="Times New Roman" w:hAnsi="Times New Roman" w:cs="Times New Roman"/>
          <w:b/>
          <w:color w:val="auto"/>
          <w:sz w:val="24"/>
          <w:szCs w:val="24"/>
          <w:highlight w:val="none"/>
          <w:lang w:val="en-US"/>
        </w:rPr>
      </w:pPr>
      <w:r>
        <w:rPr>
          <w:rFonts w:ascii="Times New Roman" w:hAnsi="Times New Roman" w:cs="Times New Roman"/>
          <w:color w:val="auto"/>
          <w:sz w:val="24"/>
          <w:szCs w:val="24"/>
          <w:highlight w:val="none"/>
          <w:lang w:val="en-US"/>
        </w:rPr>
        <w:t xml:space="preserve">The Birim North is under the Akim Oda and Nkawkaw Division in terms of police administration. The District police headquarters is at New Abirem with three (3) sub districts at Ntronang, Akoase (Akim Oda Division) and Amuana Praso (Nkawkaw Division). The Assembly has constructed a new police station at Nkwarteng and Ntronang. This is been done to improve the security situation in the district whilst effort are been made to bring policing in the district under one division.  </w:t>
      </w:r>
      <w:r>
        <w:rPr>
          <w:rFonts w:ascii="Times New Roman" w:hAnsi="Times New Roman" w:cs="Times New Roman"/>
          <w:b/>
          <w:color w:val="auto"/>
          <w:sz w:val="24"/>
          <w:szCs w:val="24"/>
          <w:highlight w:val="none"/>
          <w:lang w:val="en-US"/>
        </w:rPr>
        <w:t xml:space="preserve"> </w:t>
      </w:r>
    </w:p>
    <w:p>
      <w:pPr>
        <w:spacing w:line="360" w:lineRule="auto"/>
        <w:jc w:val="both"/>
        <w:outlineLvl w:val="0"/>
        <w:rPr>
          <w:rFonts w:ascii="Times New Roman" w:hAnsi="Times New Roman" w:cs="Times New Roman"/>
          <w:b/>
          <w:i/>
          <w:color w:val="auto"/>
          <w:sz w:val="24"/>
          <w:szCs w:val="24"/>
          <w:highlight w:val="none"/>
          <w:lang w:val="en-US"/>
        </w:rPr>
      </w:pPr>
      <w:r>
        <w:rPr>
          <w:rFonts w:ascii="Times New Roman" w:hAnsi="Times New Roman" w:cs="Times New Roman"/>
          <w:b/>
          <w:i/>
          <w:color w:val="auto"/>
          <w:sz w:val="24"/>
          <w:szCs w:val="24"/>
          <w:highlight w:val="none"/>
          <w:lang w:val="en-US"/>
        </w:rPr>
        <w:t xml:space="preserve">8.0 WASTE MANAGEMENT </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8.1</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 xml:space="preserve">Solid Waste / Garbage </w:t>
      </w:r>
    </w:p>
    <w:p>
      <w:pPr>
        <w:spacing w:line="360" w:lineRule="auto"/>
        <w:jc w:val="both"/>
        <w:outlineLvl w:val="0"/>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rate of waste generation and management in the District is a matter of concern to the Assembly. With the increasing influx of people and the rapid urbanization, huge amounts of waste are generated at an alarming rate.  It is estimated that about 950 tonnes of solid waste is generated monthly out of which 480 tonnes are collected which represents about 51%. This leaves a substantial amount of backlog that creates various </w:t>
      </w:r>
      <w:r>
        <w:rPr>
          <w:rFonts w:ascii="Times New Roman" w:hAnsi="Times New Roman" w:cs="Times New Roman"/>
          <w:color w:val="auto"/>
          <w:sz w:val="24"/>
          <w:szCs w:val="24"/>
          <w:highlight w:val="none"/>
          <w:lang w:val="en-GB"/>
        </w:rPr>
        <w:t>kinds</w:t>
      </w:r>
      <w:r>
        <w:rPr>
          <w:rFonts w:ascii="Times New Roman" w:hAnsi="Times New Roman" w:cs="Times New Roman"/>
          <w:color w:val="auto"/>
          <w:sz w:val="24"/>
          <w:szCs w:val="24"/>
          <w:highlight w:val="none"/>
          <w:lang w:val="en-US"/>
        </w:rPr>
        <w:t xml:space="preserve"> of inconveniences including health hazard to the people in the District. </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Most communities in the District have designated sanitary sites –open dumping at the outskirts of the settlement. Zoomlion Ghana Limited is responsible for emptying the containers to the final disposal site in the Newmont catchment areas. Zoomlion is also responsible for house-to-house garbage collection in those areas. Waste landfills company limited in collaboration with the Assembly also level refuse heaps in the communities on quarterly basis thus all year round and also responsible for the management of the final disposal site. The situation is under control as the Assembly in collaboration with Newmont Golden Ridge Limited (Newmont Akyem Mines) has developed an engineered landfill for final disposal of solid waste.</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8.2</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Liquid Waste</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Apart from settlements in the District lacking improved toilet facilities, most of the existing public toilets are not well constructed.  The main types of toilet facilities in the District are K.V.I.P, pit, Aqua Privy and septic.  The stench, associated with pit latrine pollutes the air and this presupposes that it should be distanced from the communities, taking due cognizance of the prevailing wind direction.</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Some communities do not have any toilet facilities and this makes indiscriminate defecation the normal practice.  This poses health hazards to the inhabitants of the settlements since run-offs wash the human excreta into streams, thus contaminating them.  </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b/>
          <w:color w:val="auto"/>
          <w:sz w:val="24"/>
          <w:szCs w:val="24"/>
          <w:highlight w:val="none"/>
          <w:lang w:val="en-US"/>
        </w:rPr>
        <w:t>8.3</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Liquid Household Waste and Storm-Water Disposal</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Wastewater from houses is normally dislodged into open earths, which are not maintained in most of the urban settlements. The odor and stench emanating from such areas pollute the air and is very much abominable.</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In smaller communities’ household waste water and run-offs are not considered in any way as they drain on to the narrow lanes to create gullies, and unto lower areas in the bush to create ponds</w:t>
      </w:r>
    </w:p>
    <w:p>
      <w:pPr>
        <w:spacing w:line="360" w:lineRule="auto"/>
        <w:jc w:val="both"/>
        <w:outlineLvl w:val="0"/>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9.0</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TOURISM DEVELOPMENT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Even though tourism has become one of the main sources of income and employment generation in the country, the Birim North District Assembly is yet to reap its full benefits. A number of tourist sites has the potential of rivaling some of the well-known tourist sites in the country. Though largely undeveloped, these sites hold the key to the area’s development if steps are taken to tap the large potential they present. </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District is endowed with as many as five efficiently managed forest reserves that are well resourced with some of the most beautiful flora and fauna, which are basic to the development of attractive wild life sanctuaries or parks. Near Otwereso is a picturesque site of the confluence of the Birim and Pra rivers. At Akrofunso, near Afosu are Ashanti antique War Bells and a grove that marks the spot where the great Ashanti King, Osei Tutu, is believed to have been killed.</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District has a number of hotels and guesthouses, which has help to ease the burden of accommodation for visitors to the district. This includes 3 four star hotels namely; Obaa’s golden Plaza (Afosu), Miners Inn(New Abirem), Beige Village Golf Resort and Spa(Afosu), and Candle light hotel and Restaurant(Afosu), Paradis Hotel(Nyafoman). In addition, there are seven guest houses at varous locations within the district; Ma Home(Afosu), Royal Hill(New Abirem), Ritheous(New Abirem), Naagyei(Afosu), Ofori(Afosu), Manna Lodge(Akoase), Nketia(Akoase) and Amadu Guest House at Akoase.</w:t>
      </w:r>
    </w:p>
    <w:p>
      <w:pPr>
        <w:spacing w:line="360" w:lineRule="auto"/>
        <w:jc w:val="both"/>
        <w:rPr>
          <w:rFonts w:ascii="Times New Roman" w:hAnsi="Times New Roman" w:cs="Times New Roman"/>
          <w:color w:val="auto"/>
          <w:sz w:val="24"/>
          <w:szCs w:val="24"/>
          <w:highlight w:val="none"/>
          <w:lang w:val="en-US"/>
        </w:rPr>
      </w:pP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10.0</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MARKETS</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Districts traditional market pattern has been in New Abirem, Ntronang, Amuana Praso and Akoase. The New Abirem market functions daily with Tuesdays and Fridays as major market days, whilst that of Ntronang is every Wednesdays. New Abirem is a nodal town but because of the bad road network from Nkawkaw to Kade through New Abirem and New Abirem to Oda, it does not make the market functional as a characteristic of a nodal town.</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11.0</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ROADS</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Road is the only form of transport in the District. This implies that, the overall improvement of the road network, maintenance and rehabilitation will facilitate and lower transportation cost and integrates the Districts rural economy with the urban economy to reduce poverty.  The completion of the lorry park at the New Abirem market has help to reduce the traffic situation in the district. Again, the 36.3km road from Nkawkaw to New Abirem has been constructed. New Abirem-Kade and New Abirem – Oda is under construction.</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b/>
          <w:color w:val="auto"/>
          <w:sz w:val="24"/>
          <w:szCs w:val="24"/>
          <w:highlight w:val="none"/>
          <w:lang w:val="en-US"/>
        </w:rPr>
        <w:t>12.0</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REVENUE BASE OF THE ASSEMBLY</w:t>
      </w:r>
    </w:p>
    <w:p>
      <w:pPr>
        <w:spacing w:after="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Revenue and Expenditure Performance of the District Assembly</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This section examines the revenue and expenditure pattern of the District Assembly for the 2021 to 2022 fiscal year. This is to improve the Assembly’s financial management practices in order to generate and manage funds for the effective implementation of the District’s Medium Term Development Plan. </w:t>
      </w:r>
    </w:p>
    <w:p>
      <w:pPr>
        <w:spacing w:after="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A. Revenue Pattern of the District Assembly</w:t>
      </w:r>
    </w:p>
    <w:p>
      <w:p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There are two main sources of revenue for the District Assembly. These consist of Internally Generated Funds (IGF) and Externally Generated Revenue. </w:t>
      </w:r>
    </w:p>
    <w:p>
      <w:pPr>
        <w:spacing w:after="200" w:line="360" w:lineRule="auto"/>
        <w:contextualSpacing/>
        <w:jc w:val="both"/>
        <w:rPr>
          <w:rFonts w:ascii="Times New Roman" w:hAnsi="Times New Roman" w:cs="Times New Roman" w:eastAsiaTheme="minorEastAsia"/>
          <w:color w:val="auto"/>
          <w:sz w:val="24"/>
          <w:szCs w:val="24"/>
          <w:highlight w:val="none"/>
          <w:lang w:val="en-US"/>
        </w:rPr>
      </w:pPr>
    </w:p>
    <w:p>
      <w:pPr>
        <w:numPr>
          <w:ilvl w:val="1"/>
          <w:numId w:val="11"/>
        </w:numPr>
        <w:spacing w:after="200" w:line="276"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 xml:space="preserve">Internally Generated Fund (IGF) </w:t>
      </w:r>
    </w:p>
    <w:p>
      <w:pPr>
        <w:tabs>
          <w:tab w:val="left" w:pos="3240"/>
        </w:tabs>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Internally Generated Fund (IGF) is mainly made up of revenue collected from; lands, fees and fines, rates, license, rent, investment and miscellaneous.  The internally generated funds are purposely used in funding recurrent expenditure incurred by the District Assembly since its amount is normally not substantial to be used to fund capital expenditure. However, in the case of Birim North, the presence of Newmont has aided the Assembly to generate enough IGF to help in financing capital projects far in excess of what is required by law.</w:t>
      </w:r>
    </w:p>
    <w:p>
      <w:pPr>
        <w:numPr>
          <w:ilvl w:val="1"/>
          <w:numId w:val="11"/>
        </w:numPr>
        <w:spacing w:after="200" w:line="360" w:lineRule="auto"/>
        <w:contextualSpacing/>
        <w:jc w:val="both"/>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Externally Generated Revenue/Funds (EGF)</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EGF is accrued from both governmental and private (non-governmental) sources including; the District Assemblies Common Fund (DACF), Government of Ghana (GoG) and Donor Grants which are mostly based on some specific criteria. The Assembly only gets to benefit from this Donor Grant such as District Development Facility (DDF) upon meeting the criteria specified. However, this Donor Grant (DDF) has now been changed to District Performance Assessment Tool (DPAT) or DACF-RFG(Responsive Factor Grant). This revenue source has been the major contributor to the Assembly’s total revenue base. A look at the table below indicates that the assembly get a lot of its revenue from IGF and the Mineral royalties’. </w:t>
      </w:r>
    </w:p>
    <w:p>
      <w:pPr>
        <w:spacing w:after="0" w:line="276" w:lineRule="auto"/>
        <w:contextualSpacing/>
        <w:jc w:val="both"/>
        <w:outlineLvl w:val="0"/>
        <w:rPr>
          <w:rFonts w:ascii="Times New Roman" w:hAnsi="Times New Roman" w:cs="Times New Roman" w:eastAsiaTheme="minorEastAsia"/>
          <w:b/>
          <w:color w:val="auto"/>
          <w:sz w:val="24"/>
          <w:szCs w:val="24"/>
          <w:highlight w:val="none"/>
          <w:lang w:val="en-US"/>
        </w:rPr>
      </w:pPr>
      <w:r>
        <w:rPr>
          <w:rFonts w:ascii="Times New Roman" w:hAnsi="Times New Roman" w:cs="Times New Roman" w:eastAsiaTheme="minorEastAsia"/>
          <w:b/>
          <w:color w:val="auto"/>
          <w:sz w:val="24"/>
          <w:szCs w:val="24"/>
          <w:highlight w:val="none"/>
          <w:lang w:val="en-US"/>
        </w:rPr>
        <w:t>Table 4: Revenue Pattern of the District Assembly</w:t>
      </w:r>
    </w:p>
    <w:tbl>
      <w:tblPr>
        <w:tblStyle w:val="12"/>
        <w:tblW w:w="9278" w:type="dxa"/>
        <w:tblInd w:w="-10" w:type="dxa"/>
        <w:tblLayout w:type="autofit"/>
        <w:tblCellMar>
          <w:top w:w="0" w:type="dxa"/>
          <w:left w:w="108" w:type="dxa"/>
          <w:bottom w:w="0" w:type="dxa"/>
          <w:right w:w="108" w:type="dxa"/>
        </w:tblCellMar>
      </w:tblPr>
      <w:tblGrid>
        <w:gridCol w:w="2766"/>
        <w:gridCol w:w="2382"/>
        <w:gridCol w:w="2127"/>
        <w:gridCol w:w="2003"/>
      </w:tblGrid>
      <w:tr>
        <w:tblPrEx>
          <w:tblCellMar>
            <w:top w:w="0" w:type="dxa"/>
            <w:left w:w="108" w:type="dxa"/>
            <w:bottom w:w="0" w:type="dxa"/>
            <w:right w:w="108" w:type="dxa"/>
          </w:tblCellMar>
        </w:tblPrEx>
        <w:trPr>
          <w:trHeight w:val="554" w:hRule="atLeast"/>
        </w:trPr>
        <w:tc>
          <w:tcPr>
            <w:tcW w:w="2766" w:type="dxa"/>
            <w:tcBorders>
              <w:top w:val="single" w:color="auto" w:sz="8" w:space="0"/>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UPDATE ON RECEIPT</w:t>
            </w:r>
          </w:p>
        </w:tc>
        <w:tc>
          <w:tcPr>
            <w:tcW w:w="2382" w:type="dxa"/>
            <w:tcBorders>
              <w:top w:val="single" w:color="auto" w:sz="8" w:space="0"/>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2021 BASELINE</w:t>
            </w:r>
          </w:p>
        </w:tc>
        <w:tc>
          <w:tcPr>
            <w:tcW w:w="2127" w:type="dxa"/>
            <w:tcBorders>
              <w:top w:val="single" w:color="auto" w:sz="8" w:space="0"/>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 xml:space="preserve"> 2022 TARGET</w:t>
            </w:r>
          </w:p>
        </w:tc>
        <w:tc>
          <w:tcPr>
            <w:tcW w:w="2003" w:type="dxa"/>
            <w:tcBorders>
              <w:top w:val="single" w:color="auto" w:sz="8" w:space="0"/>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ACTUALS 2</w:t>
            </w:r>
            <w:r>
              <w:rPr>
                <w:rFonts w:ascii="Times New Roman" w:hAnsi="Times New Roman" w:eastAsia="Times New Roman" w:cs="Times New Roman"/>
                <w:b/>
                <w:bCs/>
                <w:color w:val="auto"/>
                <w:sz w:val="24"/>
                <w:szCs w:val="24"/>
                <w:highlight w:val="none"/>
                <w:vertAlign w:val="superscript"/>
                <w:lang w:val="en-US"/>
              </w:rPr>
              <w:t>ND</w:t>
            </w:r>
            <w:r>
              <w:rPr>
                <w:rFonts w:ascii="Times New Roman" w:hAnsi="Times New Roman" w:eastAsia="Times New Roman" w:cs="Times New Roman"/>
                <w:b/>
                <w:bCs/>
                <w:color w:val="auto"/>
                <w:sz w:val="24"/>
                <w:szCs w:val="24"/>
                <w:highlight w:val="none"/>
                <w:lang w:val="en-US"/>
              </w:rPr>
              <w:t xml:space="preserve">     QUARTER 2022</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GOG-COMPENSATION</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2,000,434.52</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3,647,300.00</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1,649,018.48</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IGF</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5,606,619.86</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7,002,386.64</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3,444,268.98</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MINERAL ROYALTIES</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 </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2,696,964.40</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1,076,874.17</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DACF</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871,617.73</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3,819,574.12</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757,408.30</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MP’s CF</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180,442.64</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400,000.00</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178,761.93</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PWDs CF</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105,033.83</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280,000.00</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190,482.70</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 xml:space="preserve"> MSHAP</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20,449.12</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18,880.32</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10,245.60</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DACF-RFG</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865,662.00</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548,603.00</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264,824.00</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OTHERS</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388,401.66</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189,434.80</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189,434.81</w:t>
            </w:r>
          </w:p>
        </w:tc>
      </w:tr>
      <w:tr>
        <w:tblPrEx>
          <w:tblCellMar>
            <w:top w:w="0" w:type="dxa"/>
            <w:left w:w="108" w:type="dxa"/>
            <w:bottom w:w="0" w:type="dxa"/>
            <w:right w:w="108" w:type="dxa"/>
          </w:tblCellMar>
        </w:tblPrEx>
        <w:trPr>
          <w:trHeight w:val="554" w:hRule="atLeast"/>
        </w:trPr>
        <w:tc>
          <w:tcPr>
            <w:tcW w:w="2766"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TOTAL</w:t>
            </w:r>
          </w:p>
        </w:tc>
        <w:tc>
          <w:tcPr>
            <w:tcW w:w="238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10,038,661.36</w:t>
            </w:r>
          </w:p>
        </w:tc>
        <w:tc>
          <w:tcPr>
            <w:tcW w:w="2127"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18,553,143.28</w:t>
            </w:r>
          </w:p>
        </w:tc>
        <w:tc>
          <w:tcPr>
            <w:tcW w:w="200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7,761,318.97</w:t>
            </w:r>
          </w:p>
        </w:tc>
      </w:tr>
    </w:tbl>
    <w:p>
      <w:pPr>
        <w:spacing w:line="360" w:lineRule="auto"/>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Source: BNDA Finance Office, Jun. 2022</w:t>
      </w:r>
    </w:p>
    <w:p>
      <w:pPr>
        <w:spacing w:after="0" w:line="360" w:lineRule="auto"/>
        <w:contextualSpacing/>
        <w:jc w:val="both"/>
        <w:outlineLvl w:val="0"/>
        <w:rPr>
          <w:rFonts w:ascii="Times New Roman" w:hAnsi="Times New Roman" w:cs="Times New Roman" w:eastAsiaTheme="minorEastAsia"/>
          <w:color w:val="auto"/>
          <w:sz w:val="24"/>
          <w:szCs w:val="24"/>
          <w:highlight w:val="none"/>
          <w:lang w:val="en-US"/>
        </w:rPr>
      </w:pPr>
    </w:p>
    <w:p>
      <w:pPr>
        <w:spacing w:after="0" w:line="360" w:lineRule="auto"/>
        <w:contextualSpacing/>
        <w:jc w:val="both"/>
        <w:outlineLvl w:val="0"/>
        <w:rPr>
          <w:rFonts w:ascii="Times New Roman" w:hAnsi="Times New Roman" w:cs="Times New Roman" w:eastAsiaTheme="minorEastAsia"/>
          <w:color w:val="auto"/>
          <w:sz w:val="24"/>
          <w:szCs w:val="24"/>
          <w:highlight w:val="none"/>
          <w:lang w:val="en-US"/>
        </w:rPr>
      </w:pPr>
    </w:p>
    <w:p>
      <w:pPr>
        <w:spacing w:after="0" w:line="360" w:lineRule="auto"/>
        <w:contextualSpacing/>
        <w:jc w:val="both"/>
        <w:outlineLvl w:val="0"/>
        <w:rPr>
          <w:rFonts w:ascii="Times New Roman" w:hAnsi="Times New Roman" w:cs="Times New Roman" w:eastAsiaTheme="minorEastAsia"/>
          <w:color w:val="auto"/>
          <w:sz w:val="24"/>
          <w:szCs w:val="24"/>
          <w:highlight w:val="none"/>
          <w:lang w:val="en-US"/>
        </w:rPr>
      </w:pPr>
      <w:r>
        <w:rPr>
          <w:rFonts w:ascii="Times New Roman" w:hAnsi="Times New Roman" w:cs="Times New Roman" w:eastAsiaTheme="minorEastAsia"/>
          <w:color w:val="auto"/>
          <w:sz w:val="24"/>
          <w:szCs w:val="24"/>
          <w:highlight w:val="none"/>
          <w:lang w:val="en-US"/>
        </w:rPr>
        <w:t>B</w:t>
      </w:r>
      <w:r>
        <w:rPr>
          <w:rFonts w:ascii="Times New Roman" w:hAnsi="Times New Roman" w:cs="Times New Roman" w:eastAsiaTheme="minorEastAsia"/>
          <w:b/>
          <w:color w:val="auto"/>
          <w:sz w:val="24"/>
          <w:szCs w:val="24"/>
          <w:highlight w:val="none"/>
          <w:lang w:val="en-US"/>
        </w:rPr>
        <w:t xml:space="preserve">. </w:t>
      </w:r>
      <w:r>
        <w:rPr>
          <w:rFonts w:ascii="Times New Roman" w:hAnsi="Times New Roman" w:cs="Times New Roman" w:eastAsiaTheme="minorEastAsia"/>
          <w:color w:val="auto"/>
          <w:sz w:val="24"/>
          <w:szCs w:val="24"/>
          <w:highlight w:val="none"/>
          <w:lang w:val="en-US"/>
        </w:rPr>
        <w:t xml:space="preserve">Expenditure Pattern of the District Assembly </w:t>
      </w:r>
    </w:p>
    <w:p>
      <w:pPr>
        <w:tabs>
          <w:tab w:val="left" w:pos="3240"/>
        </w:tabs>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Expenses here are in two forms namely; recurrent and capital expenses. The recurrent expenses are made of; administration, service and miscellaneous items. The capital expenses are made as and when the need arises. These expenses mostly include construction works and other physical projects. </w:t>
      </w:r>
    </w:p>
    <w:p>
      <w:pPr>
        <w:shd w:val="clear" w:color="auto" w:fill="FFFFFF" w:themeFill="background1"/>
        <w:spacing w:after="0" w:line="240" w:lineRule="auto"/>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Table 5: Update on expenditure</w:t>
      </w:r>
    </w:p>
    <w:p>
      <w:pPr>
        <w:shd w:val="clear" w:color="auto" w:fill="FFFFFF" w:themeFill="background1"/>
        <w:spacing w:after="0" w:line="240" w:lineRule="auto"/>
        <w:rPr>
          <w:rFonts w:ascii="Times New Roman" w:hAnsi="Times New Roman" w:cs="Times New Roman"/>
          <w:b/>
          <w:color w:val="auto"/>
          <w:sz w:val="24"/>
          <w:szCs w:val="24"/>
          <w:highlight w:val="none"/>
          <w:lang w:val="en-US"/>
        </w:rPr>
      </w:pPr>
    </w:p>
    <w:tbl>
      <w:tblPr>
        <w:tblStyle w:val="12"/>
        <w:tblW w:w="9909" w:type="dxa"/>
        <w:tblInd w:w="-10" w:type="dxa"/>
        <w:tblLayout w:type="autofit"/>
        <w:tblCellMar>
          <w:top w:w="0" w:type="dxa"/>
          <w:left w:w="108" w:type="dxa"/>
          <w:bottom w:w="0" w:type="dxa"/>
          <w:right w:w="108" w:type="dxa"/>
        </w:tblCellMar>
      </w:tblPr>
      <w:tblGrid>
        <w:gridCol w:w="3604"/>
        <w:gridCol w:w="1973"/>
        <w:gridCol w:w="2220"/>
        <w:gridCol w:w="2112"/>
      </w:tblGrid>
      <w:tr>
        <w:tblPrEx>
          <w:tblCellMar>
            <w:top w:w="0" w:type="dxa"/>
            <w:left w:w="108" w:type="dxa"/>
            <w:bottom w:w="0" w:type="dxa"/>
            <w:right w:w="108" w:type="dxa"/>
          </w:tblCellMar>
        </w:tblPrEx>
        <w:trPr>
          <w:trHeight w:val="746" w:hRule="atLeast"/>
        </w:trPr>
        <w:tc>
          <w:tcPr>
            <w:tcW w:w="3604" w:type="dxa"/>
            <w:tcBorders>
              <w:top w:val="single" w:color="auto" w:sz="8" w:space="0"/>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EXPENDITURE ITEM</w:t>
            </w:r>
          </w:p>
        </w:tc>
        <w:tc>
          <w:tcPr>
            <w:tcW w:w="1973" w:type="dxa"/>
            <w:tcBorders>
              <w:top w:val="single" w:color="auto" w:sz="8" w:space="0"/>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2021 BASELINE</w:t>
            </w:r>
          </w:p>
        </w:tc>
        <w:tc>
          <w:tcPr>
            <w:tcW w:w="2220" w:type="dxa"/>
            <w:tcBorders>
              <w:top w:val="single" w:color="auto" w:sz="8" w:space="0"/>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 xml:space="preserve"> 2022 TARGET</w:t>
            </w:r>
          </w:p>
        </w:tc>
        <w:tc>
          <w:tcPr>
            <w:tcW w:w="2112" w:type="dxa"/>
            <w:tcBorders>
              <w:top w:val="single" w:color="auto" w:sz="8" w:space="0"/>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ACTUAL 2</w:t>
            </w:r>
            <w:r>
              <w:rPr>
                <w:rFonts w:ascii="Times New Roman" w:hAnsi="Times New Roman" w:eastAsia="Times New Roman" w:cs="Times New Roman"/>
                <w:b/>
                <w:bCs/>
                <w:color w:val="auto"/>
                <w:sz w:val="24"/>
                <w:szCs w:val="24"/>
                <w:highlight w:val="none"/>
                <w:vertAlign w:val="superscript"/>
                <w:lang w:val="en-US"/>
              </w:rPr>
              <w:t>nd</w:t>
            </w:r>
            <w:r>
              <w:rPr>
                <w:rFonts w:ascii="Times New Roman" w:hAnsi="Times New Roman" w:eastAsia="Times New Roman" w:cs="Times New Roman"/>
                <w:b/>
                <w:bCs/>
                <w:color w:val="auto"/>
                <w:sz w:val="24"/>
                <w:szCs w:val="24"/>
                <w:highlight w:val="none"/>
                <w:lang w:val="en-US"/>
              </w:rPr>
              <w:t xml:space="preserve">   QUARTER 2022</w:t>
            </w:r>
          </w:p>
        </w:tc>
      </w:tr>
      <w:tr>
        <w:tblPrEx>
          <w:tblCellMar>
            <w:top w:w="0" w:type="dxa"/>
            <w:left w:w="108" w:type="dxa"/>
            <w:bottom w:w="0" w:type="dxa"/>
            <w:right w:w="108" w:type="dxa"/>
          </w:tblCellMar>
        </w:tblPrEx>
        <w:trPr>
          <w:trHeight w:val="466" w:hRule="atLeast"/>
        </w:trPr>
        <w:tc>
          <w:tcPr>
            <w:tcW w:w="3604"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GOG &amp; IGF COMPENSATION</w:t>
            </w:r>
          </w:p>
        </w:tc>
        <w:tc>
          <w:tcPr>
            <w:tcW w:w="197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2,488.711.44</w:t>
            </w:r>
          </w:p>
        </w:tc>
        <w:tc>
          <w:tcPr>
            <w:tcW w:w="2220"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4,168,126.00</w:t>
            </w:r>
          </w:p>
        </w:tc>
        <w:tc>
          <w:tcPr>
            <w:tcW w:w="211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1,908,619.96</w:t>
            </w:r>
          </w:p>
        </w:tc>
      </w:tr>
      <w:tr>
        <w:tblPrEx>
          <w:tblCellMar>
            <w:top w:w="0" w:type="dxa"/>
            <w:left w:w="108" w:type="dxa"/>
            <w:bottom w:w="0" w:type="dxa"/>
            <w:right w:w="108" w:type="dxa"/>
          </w:tblCellMar>
        </w:tblPrEx>
        <w:trPr>
          <w:trHeight w:val="279" w:hRule="atLeast"/>
        </w:trPr>
        <w:tc>
          <w:tcPr>
            <w:tcW w:w="3604"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GOODS AND SERVICE</w:t>
            </w:r>
          </w:p>
        </w:tc>
        <w:tc>
          <w:tcPr>
            <w:tcW w:w="197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3,159,128.01</w:t>
            </w:r>
          </w:p>
        </w:tc>
        <w:tc>
          <w:tcPr>
            <w:tcW w:w="2220"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2,414,033.36</w:t>
            </w:r>
          </w:p>
        </w:tc>
        <w:tc>
          <w:tcPr>
            <w:tcW w:w="211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2,107,238.38</w:t>
            </w:r>
          </w:p>
        </w:tc>
      </w:tr>
      <w:tr>
        <w:tblPrEx>
          <w:tblCellMar>
            <w:top w:w="0" w:type="dxa"/>
            <w:left w:w="108" w:type="dxa"/>
            <w:bottom w:w="0" w:type="dxa"/>
            <w:right w:w="108" w:type="dxa"/>
          </w:tblCellMar>
        </w:tblPrEx>
        <w:trPr>
          <w:trHeight w:val="279" w:hRule="atLeast"/>
        </w:trPr>
        <w:tc>
          <w:tcPr>
            <w:tcW w:w="3604"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INVESTMENT/ASSET</w:t>
            </w:r>
          </w:p>
        </w:tc>
        <w:tc>
          <w:tcPr>
            <w:tcW w:w="197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4,588,834.23</w:t>
            </w:r>
          </w:p>
        </w:tc>
        <w:tc>
          <w:tcPr>
            <w:tcW w:w="2220"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9,024,395.28</w:t>
            </w:r>
          </w:p>
        </w:tc>
        <w:tc>
          <w:tcPr>
            <w:tcW w:w="211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2,579,177.21</w:t>
            </w:r>
          </w:p>
        </w:tc>
      </w:tr>
      <w:tr>
        <w:tblPrEx>
          <w:tblCellMar>
            <w:top w:w="0" w:type="dxa"/>
            <w:left w:w="108" w:type="dxa"/>
            <w:bottom w:w="0" w:type="dxa"/>
            <w:right w:w="108" w:type="dxa"/>
          </w:tblCellMar>
        </w:tblPrEx>
        <w:trPr>
          <w:trHeight w:val="279" w:hRule="atLeast"/>
        </w:trPr>
        <w:tc>
          <w:tcPr>
            <w:tcW w:w="3604"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OTHERS</w:t>
            </w:r>
          </w:p>
        </w:tc>
        <w:tc>
          <w:tcPr>
            <w:tcW w:w="197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639,109.99</w:t>
            </w:r>
          </w:p>
        </w:tc>
        <w:tc>
          <w:tcPr>
            <w:tcW w:w="2220"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322,830.48</w:t>
            </w:r>
          </w:p>
        </w:tc>
        <w:tc>
          <w:tcPr>
            <w:tcW w:w="2112"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513,420.92</w:t>
            </w:r>
          </w:p>
        </w:tc>
      </w:tr>
      <w:tr>
        <w:tblPrEx>
          <w:tblCellMar>
            <w:top w:w="0" w:type="dxa"/>
            <w:left w:w="108" w:type="dxa"/>
            <w:bottom w:w="0" w:type="dxa"/>
            <w:right w:w="108" w:type="dxa"/>
          </w:tblCellMar>
        </w:tblPrEx>
        <w:trPr>
          <w:trHeight w:val="293" w:hRule="atLeast"/>
        </w:trPr>
        <w:tc>
          <w:tcPr>
            <w:tcW w:w="3604" w:type="dxa"/>
            <w:tcBorders>
              <w:top w:val="nil"/>
              <w:left w:val="single" w:color="auto" w:sz="8" w:space="0"/>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TOTAL</w:t>
            </w:r>
          </w:p>
        </w:tc>
        <w:tc>
          <w:tcPr>
            <w:tcW w:w="1973" w:type="dxa"/>
            <w:tcBorders>
              <w:top w:val="nil"/>
              <w:left w:val="nil"/>
              <w:bottom w:val="single" w:color="auto" w:sz="8" w:space="0"/>
              <w:right w:val="single" w:color="auto" w:sz="8" w:space="0"/>
            </w:tcBorders>
            <w:shd w:val="clear" w:color="auto" w:fill="auto"/>
            <w:vAlign w:val="center"/>
          </w:tcPr>
          <w:p>
            <w:pPr>
              <w:spacing w:after="0" w:line="240" w:lineRule="auto"/>
              <w:jc w:val="both"/>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10,875,783,67</w:t>
            </w:r>
          </w:p>
        </w:tc>
        <w:tc>
          <w:tcPr>
            <w:tcW w:w="2220" w:type="dxa"/>
            <w:tcBorders>
              <w:top w:val="nil"/>
              <w:left w:val="nil"/>
              <w:bottom w:val="single" w:color="auto" w:sz="8" w:space="0"/>
              <w:right w:val="single" w:color="auto" w:sz="8" w:space="0"/>
            </w:tcBorders>
            <w:shd w:val="clear" w:color="auto" w:fill="auto"/>
            <w:vAlign w:val="center"/>
          </w:tcPr>
          <w:p>
            <w:pPr>
              <w:spacing w:after="0" w:line="240" w:lineRule="auto"/>
              <w:jc w:val="right"/>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rPr>
              <w:t>3,982,346.28</w:t>
            </w:r>
          </w:p>
        </w:tc>
        <w:tc>
          <w:tcPr>
            <w:tcW w:w="2112" w:type="dxa"/>
            <w:tcBorders>
              <w:top w:val="nil"/>
              <w:left w:val="nil"/>
              <w:bottom w:val="single" w:color="auto" w:sz="8" w:space="0"/>
              <w:right w:val="single" w:color="auto" w:sz="8" w:space="0"/>
            </w:tcBorders>
            <w:shd w:val="clear" w:color="auto" w:fill="auto"/>
            <w:vAlign w:val="center"/>
          </w:tcPr>
          <w:p>
            <w:pPr>
              <w:spacing w:after="0" w:line="240" w:lineRule="auto"/>
              <w:jc w:val="right"/>
              <w:rPr>
                <w:rFonts w:ascii="Times New Roman" w:hAnsi="Times New Roman" w:eastAsia="Times New Roman" w:cs="Times New Roman"/>
                <w:b/>
                <w:bCs/>
                <w:color w:val="auto"/>
                <w:sz w:val="24"/>
                <w:szCs w:val="24"/>
                <w:highlight w:val="none"/>
                <w:lang w:val="en-US"/>
              </w:rPr>
            </w:pPr>
            <w:r>
              <w:rPr>
                <w:rFonts w:ascii="Times New Roman" w:hAnsi="Times New Roman" w:eastAsia="Times New Roman" w:cs="Times New Roman"/>
                <w:b/>
                <w:bCs/>
                <w:color w:val="auto"/>
                <w:sz w:val="24"/>
                <w:szCs w:val="24"/>
                <w:highlight w:val="none"/>
                <w:lang w:val="en-US"/>
              </w:rPr>
              <w:t>7,108,456.47</w:t>
            </w:r>
          </w:p>
        </w:tc>
      </w:tr>
    </w:tbl>
    <w:p>
      <w:pPr>
        <w:shd w:val="clear" w:color="auto" w:fill="FFFFFF" w:themeFill="background1"/>
        <w:spacing w:line="360" w:lineRule="auto"/>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Source: BNDA Finance Office, Jun. 2022</w:t>
      </w:r>
    </w:p>
    <w:p>
      <w:pPr>
        <w:keepNext/>
        <w:keepLines/>
        <w:spacing w:before="240" w:after="0" w:line="360" w:lineRule="auto"/>
        <w:ind w:left="432" w:hanging="432"/>
        <w:outlineLvl w:val="0"/>
        <w:rPr>
          <w:rFonts w:ascii="Times New Roman" w:hAnsi="Times New Roman" w:cs="Times New Roman" w:eastAsiaTheme="majorEastAsia"/>
          <w:b/>
          <w:color w:val="auto"/>
          <w:sz w:val="24"/>
          <w:szCs w:val="24"/>
          <w:highlight w:val="none"/>
          <w:lang w:val="en-US"/>
        </w:rPr>
      </w:pPr>
      <w:r>
        <w:rPr>
          <w:rFonts w:ascii="Times New Roman" w:hAnsi="Times New Roman" w:cs="Times New Roman" w:eastAsiaTheme="majorEastAsia"/>
          <w:b/>
          <w:color w:val="auto"/>
          <w:sz w:val="24"/>
          <w:szCs w:val="24"/>
          <w:highlight w:val="none"/>
          <w:lang w:val="en-US"/>
        </w:rPr>
        <w:t>13.0 DISTRICT ECONOMY</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The economic activities carried out in the District include primary (crops) production, animal husbandry, small-scale industrial activities, mining and commerce. The Birim North District is predominantly agrarian because about 73.5 percent of the entire labour force is into agriculture and its related activities.  The population in commerce and services forms about 15.2 percent and 3.8 percent of the labour force respectively. The District is home to Seven (7) forest reserves i.e. kwekaru, Kajeasi, Ajenjua, Kwasi Anyinima, Jade Bepo, Mamang River and Auro River. The rapid expansion of the cocoa and oil palm farming in the District coupled with the activities of the illegal mining and chain saw operators are changing the original forest into a secondary type. The map below gives a pictorial evidence of the district economy.</w:t>
      </w:r>
    </w:p>
    <w:p>
      <w:pPr>
        <w:spacing w:line="360" w:lineRule="auto"/>
        <w:jc w:val="both"/>
        <w:rPr>
          <w:rFonts w:ascii="Times New Roman" w:hAnsi="Times New Roman" w:cs="Times New Roman"/>
          <w:color w:val="auto"/>
          <w:sz w:val="24"/>
          <w:szCs w:val="24"/>
          <w:highlight w:val="none"/>
          <w:lang w:val="en-US"/>
        </w:rPr>
      </w:pP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drawing>
          <wp:inline distT="0" distB="0" distL="0" distR="0">
            <wp:extent cx="6026150" cy="5319395"/>
            <wp:effectExtent l="0" t="0" r="0" b="0"/>
            <wp:docPr id="7" name="Picture 7" descr="C:\Users\Frederick Antwi\Desktop\2021 Files\MTDP\BNDA Maps\IMG-20210616-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Frederick Antwi\Desktop\2021 Files\MTDP\BNDA Maps\IMG-20210616-WA0024.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6156189" cy="5434004"/>
                    </a:xfrm>
                    <a:prstGeom prst="rect">
                      <a:avLst/>
                    </a:prstGeom>
                    <a:noFill/>
                    <a:ln>
                      <a:noFill/>
                    </a:ln>
                  </pic:spPr>
                </pic:pic>
              </a:graphicData>
            </a:graphic>
          </wp:inline>
        </w:drawing>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 xml:space="preserve">13.1 Mining </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Various minerals occur within the District. However, Gold is the largest mineral deposit, which is found in both rocks and alluvial. The alluvial gold is obtained from the eroded and weathered Birimian rocks, Tarkwaian rocks and from the mineralized eroded granites where the River Pra flows. River Pra, its valleys and plains are the good source of the alluvial gold. There are about seven small-scale miners in the district with one multinational company operating in the district (Newmont Golden Ridge Limited-Akyem).</w:t>
      </w: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Newmont Golden Ridge Limited activities’ can be found mainly in Southern part of the district around Ajenjua Bepo surrounded by Ntronang, Afosu, Adausena, New Abirem, New Amanfrom, Hweakwae, Old Abirem, Mamanso, Adjenua, Yaw Tano &amp; Hamlet communities. </w:t>
      </w:r>
    </w:p>
    <w:p>
      <w:pPr>
        <w:jc w:val="both"/>
        <w:rPr>
          <w:rFonts w:ascii="Times New Roman" w:hAnsi="Times New Roman" w:eastAsia="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It is expected that a lot of revenue will come to the District Assembly by way of royalties. However, the inflows for Mineral Royalties, Ground Rent and Concessions as at June 2022 amounted to GH¢ </w:t>
      </w:r>
      <w:r>
        <w:rPr>
          <w:rFonts w:ascii="Times New Roman" w:hAnsi="Times New Roman" w:eastAsia="Times New Roman" w:cs="Times New Roman"/>
          <w:color w:val="auto"/>
          <w:sz w:val="24"/>
          <w:szCs w:val="24"/>
          <w:highlight w:val="none"/>
          <w:lang w:val="en-US"/>
        </w:rPr>
        <w:t>1,076,874.17</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 In terms of Property Rate, Newmont Akyem Mines pays the district assembly on average a total of GH¢ 2,315,000.00 per annum.  This revenue is assisting the Assembly in its development efforts by way of providing social infrastructure such as schools, water and sanitation facilities, health, roads, market among others. </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Another major advantage, which the mining activities have brought to the District, is the creation of employment avenues for both skilled and unskilled labour. This has helped reduced unemployment in the district especially among the youth. </w:t>
      </w: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One major challenge with the mining activities is the influx of people from all lifestyles into the district to look for employment opportunities in the mining company. However, the District Assembly in collaboration with the mining company has put in place measures to minimize the various social vices such as prostitution, armed robbery among others associated with mining communities.  The map on the next page present the natural resource that the district is endowed with. </w:t>
      </w: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Figure 2.</w:t>
      </w:r>
    </w:p>
    <w:p>
      <w:pPr>
        <w:shd w:val="clear" w:color="auto" w:fill="FFFFFF" w:themeFill="background1"/>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drawing>
          <wp:inline distT="0" distB="0" distL="0" distR="0">
            <wp:extent cx="6178550" cy="4435475"/>
            <wp:effectExtent l="0" t="0" r="0" b="3175"/>
            <wp:docPr id="5" name="Picture 5" descr="C:\Users\Frederick Antwi\Desktop\2021 Files\MTDP\BNDA Maps\IMG-20210616-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Frederick Antwi\Desktop\2021 Files\MTDP\BNDA Maps\IMG-20210616-WA002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6281148" cy="4508707"/>
                    </a:xfrm>
                    <a:prstGeom prst="rect">
                      <a:avLst/>
                    </a:prstGeom>
                    <a:noFill/>
                    <a:ln>
                      <a:noFill/>
                    </a:ln>
                  </pic:spPr>
                </pic:pic>
              </a:graphicData>
            </a:graphic>
          </wp:inline>
        </w:drawing>
      </w:r>
    </w:p>
    <w:p>
      <w:pPr>
        <w:keepNext/>
        <w:keepLines/>
        <w:spacing w:before="240" w:after="0" w:line="360" w:lineRule="auto"/>
        <w:ind w:left="432" w:hanging="432"/>
        <w:outlineLvl w:val="0"/>
        <w:rPr>
          <w:rFonts w:ascii="Times New Roman" w:hAnsi="Times New Roman" w:cs="Times New Roman" w:eastAsiaTheme="majorEastAsia"/>
          <w:b/>
          <w:color w:val="auto"/>
          <w:sz w:val="24"/>
          <w:szCs w:val="24"/>
          <w:highlight w:val="none"/>
          <w:lang w:val="en-US"/>
        </w:rPr>
      </w:pPr>
      <w:r>
        <w:rPr>
          <w:rFonts w:ascii="Times New Roman" w:hAnsi="Times New Roman" w:cs="Times New Roman" w:eastAsiaTheme="majorEastAsia"/>
          <w:b/>
          <w:color w:val="auto"/>
          <w:sz w:val="24"/>
          <w:szCs w:val="24"/>
          <w:highlight w:val="none"/>
          <w:lang w:val="en-US"/>
        </w:rPr>
        <w:t>14.0 The Agricultural Sector</w:t>
      </w:r>
    </w:p>
    <w:p>
      <w:pPr>
        <w:spacing w:line="360" w:lineRule="auto"/>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14.1 Overview</w:t>
      </w:r>
    </w:p>
    <w:p>
      <w:p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GB"/>
        </w:rPr>
        <w:t>Agriculture is the main stay of the Birim North District</w:t>
      </w:r>
      <w:r>
        <w:rPr>
          <w:rFonts w:ascii="Times New Roman" w:hAnsi="Times New Roman" w:cs="Times New Roman"/>
          <w:color w:val="auto"/>
          <w:sz w:val="24"/>
          <w:szCs w:val="24"/>
          <w:highlight w:val="none"/>
          <w:lang w:val="en-US"/>
        </w:rPr>
        <w:t xml:space="preserve">, </w:t>
      </w:r>
      <w:r>
        <w:rPr>
          <w:rFonts w:ascii="Times New Roman" w:hAnsi="Times New Roman" w:cs="Times New Roman"/>
          <w:color w:val="auto"/>
          <w:sz w:val="24"/>
          <w:szCs w:val="24"/>
          <w:highlight w:val="none"/>
          <w:lang w:val="en-GB"/>
        </w:rPr>
        <w:t xml:space="preserve">employing about 72% of the total labour force, </w:t>
      </w:r>
      <w:r>
        <w:rPr>
          <w:rFonts w:ascii="Times New Roman" w:hAnsi="Times New Roman" w:cs="Times New Roman"/>
          <w:color w:val="auto"/>
          <w:sz w:val="24"/>
          <w:szCs w:val="24"/>
          <w:highlight w:val="none"/>
          <w:lang w:val="en-US"/>
        </w:rPr>
        <w:t>while services (hotels, banking etc.) and industry employ 18% and 13% respectively. This invariably makes agriculture the backbone of the district’s economy.</w:t>
      </w:r>
    </w:p>
    <w:p>
      <w:p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major crops cultivated are staples; maize, cassava, cocoyam, taro, plantain and vegetables. Tree crops (cash crops); cocoa, rubber, citrus and oil palm (of all, oil palm is cultivated on a large scale in the district). </w:t>
      </w:r>
    </w:p>
    <w:p>
      <w:p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major challenges of the sector are climate change, high cost of agro inputs, inadequate numbers of Agricultural Extension Agents (AEAs) and lack of veterinary and engineering staff, poor condition of roads etc.  The local businesses in the district include mining, palm and kernel oil processing, gari production, bee keeping among others. However, only a few of these local products are sold in commercial quantities i.e. palm oil, palm fruits, gari and gold. The economic potentials of the district can be seen in the area of; availability of raw material, availability of market, fertile lands, good road network connectivity and suitable environment. </w:t>
      </w:r>
    </w:p>
    <w:p>
      <w:pPr>
        <w:spacing w:after="0" w:line="360" w:lineRule="auto"/>
        <w:jc w:val="both"/>
        <w:rPr>
          <w:rFonts w:ascii="Times New Roman" w:hAnsi="Times New Roman" w:eastAsia="Times New Roman" w:cs="Times New Roman"/>
          <w:color w:val="auto"/>
          <w:sz w:val="24"/>
          <w:szCs w:val="24"/>
          <w:highlight w:val="none"/>
          <w:lang w:val="en-GB"/>
        </w:rPr>
      </w:pPr>
      <w:r>
        <w:rPr>
          <w:rFonts w:ascii="Times New Roman" w:hAnsi="Times New Roman" w:eastAsia="Times New Roman" w:cs="Times New Roman"/>
          <w:color w:val="auto"/>
          <w:sz w:val="24"/>
          <w:szCs w:val="24"/>
          <w:highlight w:val="none"/>
          <w:lang w:val="en-US"/>
        </w:rPr>
        <w:t>There are three (3) specific area of interest in the development of LED product in the Birim North District i.e. Palm Oil, Gari and Honey. The District has</w:t>
      </w:r>
      <w:r>
        <w:rPr>
          <w:rFonts w:ascii="Times New Roman" w:hAnsi="Times New Roman" w:cs="Times New Roman" w:eastAsiaTheme="minorEastAsia"/>
          <w:color w:val="auto"/>
          <w:kern w:val="24"/>
          <w:sz w:val="24"/>
          <w:szCs w:val="24"/>
          <w:highlight w:val="none"/>
          <w:lang w:val="en-GB"/>
        </w:rPr>
        <w:t xml:space="preserve"> 9,056.2ha of land under oil palm cultivation producing 72,449.6Mt/year.  </w:t>
      </w:r>
      <w:r>
        <w:rPr>
          <w:rFonts w:ascii="Times New Roman" w:hAnsi="Times New Roman" w:eastAsia="Times New Roman" w:cs="Times New Roman"/>
          <w:color w:val="auto"/>
          <w:sz w:val="24"/>
          <w:szCs w:val="24"/>
          <w:highlight w:val="none"/>
          <w:lang w:val="en-GB"/>
        </w:rPr>
        <w:t>The Minerals Commission and Mineral Development Fund in collaboration with the District Assembly has since 2019 supplied free seedlings to farmers which is expected to increase the area of cultivation by 50% in 2024. The district currently produces palm oil but is unable to link all stakeholder together hence its inability to benefit from the value addition in the commodity.</w:t>
      </w:r>
    </w:p>
    <w:p>
      <w:p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GB"/>
        </w:rPr>
        <w:t xml:space="preserve">Additionally, the District has about 1,750ha of farmlands under Cassava cultivation with an average yield of 18mt/ha. The District is currently producing gari and cassava flour (Kokonte) however, the sector has not been adequately resourced to produce and market the cassava in other areas like fortified gari, and cassava fufu mixed flour among others. </w:t>
      </w:r>
    </w:p>
    <w:p>
      <w:pPr>
        <w:spacing w:after="0"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GB"/>
        </w:rPr>
        <w:t xml:space="preserve">The District can boast of a high degree of social development in the area of schools, health facilities, water and sanitation, electricity, communication and technology among others, which can be related to the quality of life of the residents. The employment situation in the district is not different from the national situation, but agriculture mitigates the unemployment situation in the District. </w:t>
      </w:r>
      <w:r>
        <w:rPr>
          <w:rFonts w:ascii="Times New Roman" w:hAnsi="Times New Roman" w:cs="Times New Roman"/>
          <w:color w:val="auto"/>
          <w:sz w:val="24"/>
          <w:szCs w:val="24"/>
          <w:highlight w:val="none"/>
          <w:lang w:val="en-US"/>
        </w:rPr>
        <w:t>However, due</w:t>
      </w:r>
      <w:r>
        <w:rPr>
          <w:rFonts w:ascii="Times New Roman" w:hAnsi="Times New Roman" w:cs="Times New Roman"/>
          <w:color w:val="auto"/>
          <w:sz w:val="24"/>
          <w:szCs w:val="24"/>
          <w:highlight w:val="none"/>
          <w:lang w:val="en-GB"/>
        </w:rPr>
        <w:t xml:space="preserve"> to lack of modern </w:t>
      </w:r>
      <w:r>
        <w:rPr>
          <w:rFonts w:ascii="Times New Roman" w:hAnsi="Times New Roman" w:cs="Times New Roman"/>
          <w:color w:val="auto"/>
          <w:sz w:val="24"/>
          <w:szCs w:val="24"/>
          <w:highlight w:val="none"/>
          <w:lang w:val="en-US"/>
        </w:rPr>
        <w:t xml:space="preserve">machinery and mechanization to modernize Agriculture and reduce drudgery, </w:t>
      </w:r>
      <w:r>
        <w:rPr>
          <w:rFonts w:ascii="Times New Roman" w:hAnsi="Times New Roman" w:cs="Times New Roman"/>
          <w:color w:val="auto"/>
          <w:sz w:val="24"/>
          <w:szCs w:val="24"/>
          <w:highlight w:val="none"/>
          <w:lang w:val="en-GB"/>
        </w:rPr>
        <w:t xml:space="preserve">it </w:t>
      </w:r>
      <w:r>
        <w:rPr>
          <w:rFonts w:ascii="Times New Roman" w:hAnsi="Times New Roman" w:cs="Times New Roman"/>
          <w:color w:val="auto"/>
          <w:sz w:val="24"/>
          <w:szCs w:val="24"/>
          <w:highlight w:val="none"/>
          <w:lang w:val="en-US"/>
        </w:rPr>
        <w:t>becomes an unattractive venture</w:t>
      </w:r>
      <w:r>
        <w:rPr>
          <w:rFonts w:ascii="Times New Roman" w:hAnsi="Times New Roman" w:cs="Times New Roman"/>
          <w:color w:val="auto"/>
          <w:sz w:val="24"/>
          <w:szCs w:val="24"/>
          <w:highlight w:val="none"/>
          <w:lang w:val="en-GB"/>
        </w:rPr>
        <w:t xml:space="preserve"> </w:t>
      </w:r>
      <w:r>
        <w:rPr>
          <w:rFonts w:ascii="Times New Roman" w:hAnsi="Times New Roman" w:cs="Times New Roman"/>
          <w:color w:val="auto"/>
          <w:sz w:val="24"/>
          <w:szCs w:val="24"/>
          <w:highlight w:val="none"/>
          <w:lang w:val="en-US"/>
        </w:rPr>
        <w:t>for the</w:t>
      </w:r>
      <w:r>
        <w:rPr>
          <w:rFonts w:ascii="Times New Roman" w:hAnsi="Times New Roman" w:cs="Times New Roman"/>
          <w:color w:val="auto"/>
          <w:sz w:val="24"/>
          <w:szCs w:val="24"/>
          <w:highlight w:val="none"/>
          <w:lang w:val="en-GB"/>
        </w:rPr>
        <w:t xml:space="preserve"> youth </w:t>
      </w:r>
      <w:r>
        <w:rPr>
          <w:rFonts w:ascii="Times New Roman" w:hAnsi="Times New Roman" w:cs="Times New Roman"/>
          <w:color w:val="auto"/>
          <w:sz w:val="24"/>
          <w:szCs w:val="24"/>
          <w:highlight w:val="none"/>
          <w:lang w:val="en-US"/>
        </w:rPr>
        <w:t>to</w:t>
      </w:r>
      <w:r>
        <w:rPr>
          <w:rFonts w:ascii="Times New Roman" w:hAnsi="Times New Roman" w:cs="Times New Roman"/>
          <w:color w:val="auto"/>
          <w:sz w:val="24"/>
          <w:szCs w:val="24"/>
          <w:highlight w:val="none"/>
          <w:lang w:val="en-GB"/>
        </w:rPr>
        <w:t xml:space="preserve"> explore. There are many economic opportunities for women and youth but the sector has not been given the needed attention to engage these groups in the district to become financially independent.    </w:t>
      </w:r>
    </w:p>
    <w:p>
      <w:pPr>
        <w:spacing w:after="0" w:line="360" w:lineRule="auto"/>
        <w:jc w:val="both"/>
        <w:rPr>
          <w:rFonts w:ascii="Times New Roman" w:hAnsi="Times New Roman" w:cs="Times New Roman"/>
          <w:color w:val="auto"/>
          <w:sz w:val="24"/>
          <w:szCs w:val="24"/>
          <w:highlight w:val="none"/>
          <w:lang w:val="en-US"/>
        </w:rPr>
      </w:pP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 xml:space="preserve">15.0 </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SERVICE SECTOR</w:t>
      </w:r>
    </w:p>
    <w:p>
      <w:pPr>
        <w:spacing w:line="360" w:lineRule="auto"/>
        <w:jc w:val="both"/>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(i)</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Postal Service</w:t>
      </w:r>
    </w:p>
    <w:p>
      <w:pPr>
        <w:spacing w:line="360" w:lineRule="auto"/>
        <w:jc w:val="both"/>
        <w:rPr>
          <w:rFonts w:ascii="Times New Roman" w:hAnsi="Times New Roman" w:cs="Times New Roman"/>
          <w:color w:val="auto"/>
          <w:sz w:val="24"/>
          <w:szCs w:val="24"/>
          <w:highlight w:val="none"/>
          <w:lang w:val="en-GB"/>
        </w:rPr>
      </w:pPr>
      <w:r>
        <w:rPr>
          <w:rFonts w:ascii="Times New Roman" w:hAnsi="Times New Roman" w:cs="Times New Roman"/>
          <w:color w:val="auto"/>
          <w:sz w:val="24"/>
          <w:szCs w:val="24"/>
          <w:highlight w:val="none"/>
          <w:lang w:val="en-US"/>
        </w:rPr>
        <w:t xml:space="preserve">The District has one Post Office at New Abirem and four Postal Agencies at Ntronang, Afosu, Akoase and Pankese.  Owing to lack of patronage, some of the Postal Agencies are not functional to expectation. Their main functions include delivery of letters to and from the District capital. </w:t>
      </w:r>
    </w:p>
    <w:p>
      <w:pPr>
        <w:spacing w:line="360" w:lineRule="auto"/>
        <w:jc w:val="both"/>
        <w:rPr>
          <w:rFonts w:ascii="Times New Roman" w:hAnsi="Times New Roman" w:cs="Times New Roman"/>
          <w:b/>
          <w:color w:val="auto"/>
          <w:sz w:val="24"/>
          <w:szCs w:val="24"/>
          <w:highlight w:val="none"/>
          <w:lang w:val="en-US"/>
        </w:rPr>
      </w:pPr>
    </w:p>
    <w:p>
      <w:pPr>
        <w:spacing w:line="360" w:lineRule="auto"/>
        <w:jc w:val="both"/>
        <w:rPr>
          <w:rFonts w:ascii="Times New Roman" w:hAnsi="Times New Roman" w:cs="Times New Roman"/>
          <w:b/>
          <w:color w:val="auto"/>
          <w:sz w:val="24"/>
          <w:szCs w:val="24"/>
          <w:highlight w:val="none"/>
          <w:lang w:val="en-US"/>
        </w:rPr>
      </w:pPr>
    </w:p>
    <w:p>
      <w:pPr>
        <w:spacing w:line="360" w:lineRule="auto"/>
        <w:jc w:val="both"/>
        <w:rPr>
          <w:rFonts w:ascii="Times New Roman" w:hAnsi="Times New Roman" w:cs="Times New Roman"/>
          <w:color w:val="auto"/>
          <w:sz w:val="24"/>
          <w:szCs w:val="24"/>
          <w:highlight w:val="none"/>
          <w:lang w:val="en-GB"/>
        </w:rPr>
      </w:pPr>
      <w:r>
        <w:rPr>
          <w:rFonts w:ascii="Times New Roman" w:hAnsi="Times New Roman" w:cs="Times New Roman"/>
          <w:b/>
          <w:color w:val="auto"/>
          <w:sz w:val="24"/>
          <w:szCs w:val="24"/>
          <w:highlight w:val="none"/>
          <w:lang w:val="en-US"/>
        </w:rPr>
        <w:t>(ii)</w:t>
      </w:r>
      <w:r>
        <w:rPr>
          <w:rFonts w:ascii="Times New Roman" w:hAnsi="Times New Roman" w:cs="Times New Roman"/>
          <w:b/>
          <w:color w:val="auto"/>
          <w:sz w:val="24"/>
          <w:szCs w:val="24"/>
          <w:highlight w:val="none"/>
          <w:lang w:val="en-US"/>
        </w:rPr>
        <w:tab/>
      </w:r>
      <w:r>
        <w:rPr>
          <w:rFonts w:ascii="Times New Roman" w:hAnsi="Times New Roman" w:cs="Times New Roman"/>
          <w:b/>
          <w:color w:val="auto"/>
          <w:sz w:val="24"/>
          <w:szCs w:val="24"/>
          <w:highlight w:val="none"/>
          <w:lang w:val="en-US"/>
        </w:rPr>
        <w:t>Banking Service</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Conventional banking institutions in the District, there are three commercial banks; Absa Bank, Consolidated Bank and Ecobank are located in New Abirem.  There are five rural banks operating in the District.  These are Mponua Rural Bank, Kwahu Rural Bank, Mumuadu Rural Bank and South Birim banks all located at New Abirem whiles Dumpon Rural Bank is located at Akoase. However, Mponua Rural Bank has its headquarters at Amuana Praso. Ropa microfinance and Vision Workers Cooperative Credit Union is also located at New Abirem. Banking service is therefore skewed towards New Abirem the District capital.</w:t>
      </w:r>
    </w:p>
    <w:p>
      <w:pPr>
        <w:keepNext/>
        <w:keepLines/>
        <w:spacing w:after="0" w:line="360" w:lineRule="auto"/>
        <w:jc w:val="both"/>
        <w:outlineLvl w:val="1"/>
        <w:rPr>
          <w:rFonts w:ascii="Times New Roman" w:hAnsi="Times New Roman" w:cs="Times New Roman" w:eastAsiaTheme="majorEastAsia"/>
          <w:b/>
          <w:color w:val="auto"/>
          <w:sz w:val="24"/>
          <w:szCs w:val="24"/>
          <w:highlight w:val="none"/>
          <w:lang w:val="en-US"/>
        </w:rPr>
      </w:pPr>
      <w:r>
        <w:rPr>
          <w:rFonts w:ascii="Times New Roman" w:hAnsi="Times New Roman" w:cs="Times New Roman" w:eastAsiaTheme="majorEastAsia"/>
          <w:b/>
          <w:color w:val="auto"/>
          <w:sz w:val="24"/>
          <w:szCs w:val="24"/>
          <w:highlight w:val="none"/>
          <w:lang w:val="en-US"/>
        </w:rPr>
        <w:t xml:space="preserve">16.0 Age and Sex Composition  </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structure of the population has about 50.0% female and 50.0% male. The sex ratio is 100 males to 100 females. When the population is divided into broad age groups;  0 – 14 years age cohort constitute about 39.9 percent, whiles the 15 – 64 years age cohort constitute 55 percent. The 65+ year age cohort is 5.1 percent.  The District population is youthful with about 39.9 percent between the ages of 0 – 14 years whiles only 5.1 are above the age of 64 years.  The proportion of children below 15 years is therefore very high. The de facto composition of the labour force; defined here as the number of people within the age group of 15- 64 years is 55 percent. </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implication is that a greater percentage of the population falls within the vulnerable group. This therefore calls for a positive affirmative action in the distribution, control and benefits of socio-economic policies, programmes and activities of the Assembly. </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drawing>
          <wp:inline distT="0" distB="0" distL="0" distR="0">
            <wp:extent cx="5486400" cy="3915410"/>
            <wp:effectExtent l="19050" t="0" r="19050" b="8641"/>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pPr>
        <w:spacing w:after="200" w:line="240" w:lineRule="auto"/>
        <w:jc w:val="center"/>
        <w:rPr>
          <w:rFonts w:ascii="Times New Roman" w:hAnsi="Times New Roman" w:eastAsia="Calibri" w:cs="Times New Roman"/>
          <w:b/>
          <w:bCs/>
          <w:color w:val="auto"/>
          <w:sz w:val="24"/>
          <w:szCs w:val="24"/>
          <w:highlight w:val="none"/>
          <w:lang w:val="en-GB"/>
        </w:rPr>
      </w:pPr>
      <w:r>
        <w:rPr>
          <w:rFonts w:ascii="Times New Roman" w:hAnsi="Times New Roman" w:eastAsia="Calibri" w:cs="Times New Roman"/>
          <w:b/>
          <w:bCs/>
          <w:color w:val="auto"/>
          <w:sz w:val="24"/>
          <w:szCs w:val="24"/>
          <w:highlight w:val="none"/>
          <w:lang w:val="en-GB"/>
        </w:rPr>
        <w:t>Figure 3: Age / Sex Structure of Birim North District</w:t>
      </w:r>
    </w:p>
    <w:p>
      <w:pPr>
        <w:spacing w:after="120" w:line="360" w:lineRule="auto"/>
        <w:rPr>
          <w:rFonts w:ascii="Times New Roman" w:hAnsi="Times New Roman" w:eastAsia="Calibri" w:cs="Times New Roman"/>
          <w:b/>
          <w:color w:val="auto"/>
          <w:sz w:val="24"/>
          <w:szCs w:val="24"/>
          <w:highlight w:val="none"/>
          <w:lang w:val="en-GB"/>
        </w:rPr>
      </w:pPr>
    </w:p>
    <w:p>
      <w:pPr>
        <w:spacing w:after="120" w:line="360" w:lineRule="auto"/>
        <w:rPr>
          <w:rFonts w:ascii="Times New Roman" w:hAnsi="Times New Roman" w:eastAsia="Calibri" w:cs="Times New Roman"/>
          <w:b/>
          <w:color w:val="auto"/>
          <w:sz w:val="24"/>
          <w:szCs w:val="24"/>
          <w:highlight w:val="none"/>
          <w:lang w:val="en-GB"/>
        </w:rPr>
      </w:pPr>
      <w:r>
        <w:rPr>
          <w:rFonts w:ascii="Times New Roman" w:hAnsi="Times New Roman" w:eastAsia="Calibri" w:cs="Times New Roman"/>
          <w:b/>
          <w:color w:val="auto"/>
          <w:sz w:val="24"/>
          <w:szCs w:val="24"/>
          <w:highlight w:val="none"/>
          <w:lang w:val="en-GB"/>
        </w:rPr>
        <w:t>16.1 Labour Force and Dependency Ratio</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 xml:space="preserve">The 2010 Population census put the economically active and working population in the district at </w:t>
      </w:r>
      <w:r>
        <w:rPr>
          <w:rFonts w:ascii="Times New Roman" w:hAnsi="Times New Roman" w:cs="Times New Roman"/>
          <w:b/>
          <w:color w:val="auto"/>
          <w:sz w:val="24"/>
          <w:szCs w:val="24"/>
          <w:highlight w:val="none"/>
          <w:lang w:val="en-US"/>
        </w:rPr>
        <w:t>54.6%</w:t>
      </w:r>
      <w:r>
        <w:rPr>
          <w:rFonts w:ascii="Times New Roman" w:hAnsi="Times New Roman" w:cs="Times New Roman"/>
          <w:color w:val="auto"/>
          <w:sz w:val="24"/>
          <w:szCs w:val="24"/>
          <w:highlight w:val="none"/>
          <w:lang w:val="en-US"/>
        </w:rPr>
        <w:t xml:space="preserve"> for males and compares favourably with females who constitute </w:t>
      </w:r>
      <w:r>
        <w:rPr>
          <w:rFonts w:ascii="Times New Roman" w:hAnsi="Times New Roman" w:cs="Times New Roman"/>
          <w:b/>
          <w:color w:val="auto"/>
          <w:sz w:val="24"/>
          <w:szCs w:val="24"/>
          <w:highlight w:val="none"/>
          <w:lang w:val="en-US"/>
        </w:rPr>
        <w:t>55.4%</w:t>
      </w:r>
      <w:r>
        <w:rPr>
          <w:rFonts w:ascii="Times New Roman" w:hAnsi="Times New Roman" w:cs="Times New Roman"/>
          <w:color w:val="auto"/>
          <w:sz w:val="24"/>
          <w:szCs w:val="24"/>
          <w:highlight w:val="none"/>
          <w:lang w:val="en-US"/>
        </w:rPr>
        <w:t xml:space="preserve"> while the non-economically active population constitutes </w:t>
      </w:r>
      <w:r>
        <w:rPr>
          <w:rFonts w:ascii="Times New Roman" w:hAnsi="Times New Roman" w:cs="Times New Roman"/>
          <w:b/>
          <w:color w:val="auto"/>
          <w:sz w:val="24"/>
          <w:szCs w:val="24"/>
          <w:highlight w:val="none"/>
          <w:lang w:val="en-US"/>
        </w:rPr>
        <w:t>45.4%</w:t>
      </w:r>
      <w:r>
        <w:rPr>
          <w:rFonts w:ascii="Times New Roman" w:hAnsi="Times New Roman" w:cs="Times New Roman"/>
          <w:color w:val="auto"/>
          <w:sz w:val="24"/>
          <w:szCs w:val="24"/>
          <w:highlight w:val="none"/>
          <w:lang w:val="en-US"/>
        </w:rPr>
        <w:t xml:space="preserve"> for males and </w:t>
      </w:r>
      <w:r>
        <w:rPr>
          <w:rFonts w:ascii="Times New Roman" w:hAnsi="Times New Roman" w:cs="Times New Roman"/>
          <w:b/>
          <w:color w:val="auto"/>
          <w:sz w:val="24"/>
          <w:szCs w:val="24"/>
          <w:highlight w:val="none"/>
          <w:lang w:val="en-US"/>
        </w:rPr>
        <w:t>44.6%</w:t>
      </w:r>
      <w:r>
        <w:rPr>
          <w:rFonts w:ascii="Times New Roman" w:hAnsi="Times New Roman" w:cs="Times New Roman"/>
          <w:color w:val="auto"/>
          <w:sz w:val="24"/>
          <w:szCs w:val="24"/>
          <w:highlight w:val="none"/>
          <w:lang w:val="en-US"/>
        </w:rPr>
        <w:t xml:space="preserve"> for females. This implies the need for mainstreaming gender in the development programmes of the District.</w:t>
      </w:r>
    </w:p>
    <w:p>
      <w:pPr>
        <w:spacing w:after="0" w:line="360" w:lineRule="auto"/>
        <w:jc w:val="both"/>
        <w:rPr>
          <w:rFonts w:ascii="Times New Roman" w:hAnsi="Times New Roman" w:eastAsia="Times New Roman" w:cs="Times New Roman"/>
          <w:b/>
          <w:color w:val="auto"/>
          <w:sz w:val="24"/>
          <w:szCs w:val="24"/>
          <w:highlight w:val="none"/>
          <w:lang w:val="en-US"/>
        </w:rPr>
      </w:pPr>
      <w:r>
        <w:rPr>
          <w:rFonts w:ascii="Times New Roman" w:hAnsi="Times New Roman" w:eastAsia="Times New Roman" w:cs="Times New Roman"/>
          <w:b/>
          <w:color w:val="auto"/>
          <w:sz w:val="24"/>
          <w:szCs w:val="24"/>
          <w:highlight w:val="none"/>
          <w:lang w:val="en-US"/>
        </w:rPr>
        <w:t xml:space="preserve">17.0 Staff Distribution in relation to Gender </w:t>
      </w:r>
    </w:p>
    <w:p>
      <w:pPr>
        <w:spacing w:after="0" w:line="36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Staff distribution in Birim North District is skewed in favour of males with the female: male ratio being 1:3. The total staff strength at the District Administration is 141 comprising of 99 males and 42 females. 15 out of the 28 senior officers are female. This implies that the District Administration is dominated mostly by males. The situation is not different from the junior officers where we have only 15 females as against 49 males. A conscious effort should be geared towards affirmative action in the subsequent recruitments and appointments. The Assembly should facilitate the appointment of females to management positions to give meaning to the concept of women empowerment. The break down is shown below:</w:t>
      </w:r>
    </w:p>
    <w:p>
      <w:pPr>
        <w:spacing w:after="0" w:line="36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The total staff strength of the Birim North District Assembly as at 31</w:t>
      </w:r>
      <w:r>
        <w:rPr>
          <w:rFonts w:ascii="Times New Roman" w:hAnsi="Times New Roman" w:eastAsia="Times New Roman" w:cs="Times New Roman"/>
          <w:color w:val="auto"/>
          <w:sz w:val="24"/>
          <w:szCs w:val="24"/>
          <w:highlight w:val="none"/>
          <w:vertAlign w:val="superscript"/>
          <w:lang w:val="en-US"/>
        </w:rPr>
        <w:t>st</w:t>
      </w:r>
      <w:r>
        <w:rPr>
          <w:rFonts w:ascii="Times New Roman" w:hAnsi="Times New Roman" w:eastAsia="Times New Roman" w:cs="Times New Roman"/>
          <w:color w:val="auto"/>
          <w:sz w:val="24"/>
          <w:szCs w:val="24"/>
          <w:highlight w:val="none"/>
          <w:lang w:val="en-US"/>
        </w:rPr>
        <w:t xml:space="preserve"> August, 2022 is One hundred and forty-seven (147).</w:t>
      </w:r>
    </w:p>
    <w:p>
      <w:pPr>
        <w:spacing w:after="0" w:line="240" w:lineRule="auto"/>
        <w:jc w:val="both"/>
        <w:rPr>
          <w:rFonts w:ascii="Times New Roman" w:hAnsi="Times New Roman" w:eastAsia="Times New Roman" w:cs="Times New Roman"/>
          <w:color w:val="auto"/>
          <w:sz w:val="24"/>
          <w:szCs w:val="24"/>
          <w:highlight w:val="none"/>
          <w:u w:val="single"/>
          <w:lang w:val="en-US"/>
        </w:rPr>
      </w:pPr>
      <w:r>
        <w:rPr>
          <w:rFonts w:ascii="Times New Roman" w:hAnsi="Times New Roman" w:eastAsia="Times New Roman" w:cs="Times New Roman"/>
          <w:color w:val="auto"/>
          <w:sz w:val="24"/>
          <w:szCs w:val="24"/>
          <w:highlight w:val="none"/>
          <w:lang w:val="en-US"/>
        </w:rPr>
        <w:t>b)</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Staff Distribution</w:t>
      </w:r>
    </w:p>
    <w:p>
      <w:pPr>
        <w:spacing w:after="0" w:line="240" w:lineRule="auto"/>
        <w:jc w:val="both"/>
        <w:rPr>
          <w:rFonts w:ascii="Times New Roman" w:hAnsi="Times New Roman" w:eastAsia="Times New Roman" w:cs="Times New Roman"/>
          <w:color w:val="auto"/>
          <w:sz w:val="24"/>
          <w:szCs w:val="24"/>
          <w:highlight w:val="none"/>
          <w:u w:val="single"/>
          <w:lang w:val="en-US"/>
        </w:rPr>
      </w:pPr>
    </w:p>
    <w:p>
      <w:pPr>
        <w:numPr>
          <w:ilvl w:val="0"/>
          <w:numId w:val="12"/>
        </w:num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Male</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 xml:space="preserve">  99</w:t>
      </w:r>
    </w:p>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Female</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 xml:space="preserve">  42</w:t>
      </w:r>
    </w:p>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Total</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141</w:t>
      </w:r>
    </w:p>
    <w:p>
      <w:pPr>
        <w:spacing w:after="0" w:line="240" w:lineRule="auto"/>
        <w:jc w:val="both"/>
        <w:rPr>
          <w:rFonts w:ascii="Times New Roman" w:hAnsi="Times New Roman" w:eastAsia="Times New Roman" w:cs="Times New Roman"/>
          <w:color w:val="auto"/>
          <w:sz w:val="24"/>
          <w:szCs w:val="24"/>
          <w:highlight w:val="none"/>
          <w:lang w:val="en-US"/>
        </w:rPr>
      </w:pPr>
    </w:p>
    <w:p>
      <w:pPr>
        <w:numPr>
          <w:ilvl w:val="0"/>
          <w:numId w:val="12"/>
        </w:num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Snr. Male Officers</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 xml:space="preserve">  28</w:t>
      </w:r>
    </w:p>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Snr. Female Officers</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 xml:space="preserve">  15</w:t>
      </w:r>
    </w:p>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Total</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 xml:space="preserve">  43</w:t>
      </w:r>
    </w:p>
    <w:p>
      <w:pPr>
        <w:spacing w:after="0" w:line="240" w:lineRule="auto"/>
        <w:jc w:val="both"/>
        <w:rPr>
          <w:rFonts w:ascii="Times New Roman" w:hAnsi="Times New Roman" w:eastAsia="Times New Roman" w:cs="Times New Roman"/>
          <w:color w:val="auto"/>
          <w:sz w:val="24"/>
          <w:szCs w:val="24"/>
          <w:highlight w:val="none"/>
          <w:lang w:val="en-US"/>
        </w:rPr>
      </w:pPr>
    </w:p>
    <w:p>
      <w:pPr>
        <w:numPr>
          <w:ilvl w:val="0"/>
          <w:numId w:val="12"/>
        </w:num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Jnr. Male Officers</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 xml:space="preserve">  49</w:t>
      </w:r>
    </w:p>
    <w:p>
      <w:pPr>
        <w:spacing w:after="0" w:line="240" w:lineRule="auto"/>
        <w:jc w:val="both"/>
        <w:rPr>
          <w:rFonts w:ascii="Times New Roman" w:hAnsi="Times New Roman" w:eastAsia="Times New Roman" w:cs="Times New Roman"/>
          <w:color w:val="auto"/>
          <w:sz w:val="24"/>
          <w:szCs w:val="24"/>
          <w:highlight w:val="none"/>
          <w:lang w:val="en-US"/>
        </w:rPr>
      </w:pP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Jnr. Female Officers</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 xml:space="preserve">  15</w:t>
      </w:r>
    </w:p>
    <w:p>
      <w:pPr>
        <w:spacing w:after="0" w:line="240" w:lineRule="auto"/>
        <w:jc w:val="both"/>
        <w:rPr>
          <w:rFonts w:ascii="Times New Roman" w:hAnsi="Times New Roman" w:eastAsia="Times New Roman" w:cs="Times New Roman"/>
          <w:color w:val="auto"/>
          <w:sz w:val="24"/>
          <w:szCs w:val="24"/>
          <w:highlight w:val="none"/>
          <w:u w:val="single"/>
          <w:lang w:val="en-US"/>
        </w:rPr>
      </w:pP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Total</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w:t>
      </w:r>
      <w:r>
        <w:rPr>
          <w:rFonts w:ascii="Times New Roman" w:hAnsi="Times New Roman" w:eastAsia="Times New Roman" w:cs="Times New Roman"/>
          <w:color w:val="auto"/>
          <w:sz w:val="24"/>
          <w:szCs w:val="24"/>
          <w:highlight w:val="none"/>
          <w:lang w:val="en-US"/>
        </w:rPr>
        <w:tab/>
      </w:r>
      <w:r>
        <w:rPr>
          <w:rFonts w:ascii="Times New Roman" w:hAnsi="Times New Roman" w:eastAsia="Times New Roman" w:cs="Times New Roman"/>
          <w:color w:val="auto"/>
          <w:sz w:val="24"/>
          <w:szCs w:val="24"/>
          <w:highlight w:val="none"/>
          <w:lang w:val="en-US"/>
        </w:rPr>
        <w:t xml:space="preserve">  </w:t>
      </w:r>
      <w:r>
        <w:rPr>
          <w:rFonts w:ascii="Times New Roman" w:hAnsi="Times New Roman" w:eastAsia="Times New Roman" w:cs="Times New Roman"/>
          <w:color w:val="auto"/>
          <w:sz w:val="24"/>
          <w:szCs w:val="24"/>
          <w:highlight w:val="none"/>
          <w:u w:val="single"/>
          <w:lang w:val="en-US"/>
        </w:rPr>
        <w:t>64</w:t>
      </w:r>
    </w:p>
    <w:p>
      <w:pPr>
        <w:pStyle w:val="77"/>
        <w:numPr>
          <w:ilvl w:val="0"/>
          <w:numId w:val="12"/>
        </w:numPr>
        <w:spacing w:after="0" w:line="240" w:lineRule="auto"/>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Causal Staff</w:t>
      </w:r>
    </w:p>
    <w:p>
      <w:pPr>
        <w:pStyle w:val="77"/>
        <w:spacing w:after="0" w:line="240" w:lineRule="auto"/>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Male</w:t>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w:t>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 xml:space="preserve">  22</w:t>
      </w:r>
    </w:p>
    <w:p>
      <w:pPr>
        <w:pStyle w:val="77"/>
        <w:spacing w:after="0" w:line="240" w:lineRule="auto"/>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Female</w:t>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             12</w:t>
      </w:r>
    </w:p>
    <w:p>
      <w:pPr>
        <w:pStyle w:val="77"/>
        <w:spacing w:after="0" w:line="240" w:lineRule="auto"/>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Total</w:t>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ab/>
      </w:r>
      <w:r>
        <w:rPr>
          <w:rFonts w:ascii="Times New Roman" w:hAnsi="Times New Roman" w:eastAsia="Times New Roman" w:cs="Times New Roman"/>
          <w:color w:val="auto"/>
          <w:sz w:val="24"/>
          <w:szCs w:val="24"/>
          <w:highlight w:val="none"/>
        </w:rPr>
        <w:t>-             34</w:t>
      </w:r>
    </w:p>
    <w:p>
      <w:pPr>
        <w:pStyle w:val="77"/>
        <w:spacing w:after="0" w:line="240" w:lineRule="auto"/>
        <w:jc w:val="both"/>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Commission Collectors-3 Males</w:t>
      </w:r>
    </w:p>
    <w:p>
      <w:pPr>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Source: BNDA/August, 2022</w:t>
      </w:r>
    </w:p>
    <w:p>
      <w:pPr>
        <w:jc w:val="both"/>
        <w:rPr>
          <w:rFonts w:ascii="Times New Roman" w:hAnsi="Times New Roman" w:cs="Times New Roman"/>
          <w:color w:val="auto"/>
          <w:sz w:val="24"/>
          <w:szCs w:val="24"/>
          <w:highlight w:val="none"/>
          <w:lang w:val="en-US"/>
        </w:rPr>
      </w:pPr>
    </w:p>
    <w:p>
      <w:pPr>
        <w:spacing w:line="360" w:lineRule="auto"/>
        <w:rPr>
          <w:rFonts w:ascii="Times New Roman" w:hAnsi="Times New Roman" w:cs="Times New Roman"/>
          <w:color w:val="auto"/>
          <w:sz w:val="24"/>
          <w:szCs w:val="24"/>
          <w:highlight w:val="none"/>
          <w:lang w:val="en-US"/>
        </w:rPr>
      </w:pPr>
      <w:r>
        <w:rPr>
          <w:rFonts w:ascii="Times New Roman" w:hAnsi="Times New Roman" w:cs="Times New Roman"/>
          <w:b/>
          <w:color w:val="auto"/>
          <w:sz w:val="24"/>
          <w:szCs w:val="24"/>
          <w:highlight w:val="none"/>
          <w:lang w:val="en-US"/>
        </w:rPr>
        <w:t>18.0 Resource Utilization</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With limited resource, financial, material and human, it is not possible to satisfy the needs of all communities within the 4-Year period.</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On the basis of the above, projects should be sited strategically to serve many communities as much as possible. Secondly, projects selected should serve the felt needs of the communities and not political interest.</w:t>
      </w:r>
    </w:p>
    <w:p>
      <w:pPr>
        <w:spacing w:line="360" w:lineRule="auto"/>
        <w:rPr>
          <w:rFonts w:ascii="Times New Roman" w:hAnsi="Times New Roman" w:cs="Times New Roman"/>
          <w:b/>
          <w:color w:val="auto"/>
          <w:sz w:val="24"/>
          <w:szCs w:val="24"/>
          <w:highlight w:val="none"/>
          <w:lang w:val="en-US"/>
        </w:rPr>
      </w:pPr>
      <w:r>
        <w:rPr>
          <w:rFonts w:ascii="Times New Roman" w:hAnsi="Times New Roman" w:cs="Times New Roman"/>
          <w:b/>
          <w:color w:val="auto"/>
          <w:sz w:val="24"/>
          <w:szCs w:val="24"/>
          <w:highlight w:val="none"/>
          <w:lang w:val="en-US"/>
        </w:rPr>
        <w:t>18.1 Institutional linkages</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As much as possible, institutional capacity building should be pursued. The District Assembly should assume the overall central coordinating role while outlining institutional responsibilities in conjunction with the various Departments of the Assembly and other government agencies. This is to get them actively involved in implementation on the plan in its totality.</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Agencies outside must also be consulted to give assistant to the Assembly’s own implementation and monitoring efforts. Research institutions of the various Universities such as BIRD, BRRI, CSIR, etc. could be of immense help in the areas of planning, training and advise on project implementation, monitoring and evaluation.</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In order to achieve some level of integration, planning and project implementation have to be worked out in such a way that the development of one sector is linked to the other sectors of the economy of the District.</w:t>
      </w:r>
    </w:p>
    <w:p>
      <w:pPr>
        <w:spacing w:line="360" w:lineRule="auto"/>
        <w:jc w:val="both"/>
        <w:rPr>
          <w:rFonts w:ascii="Times New Roman" w:hAnsi="Times New Roman" w:cs="Times New Roman"/>
          <w:color w:val="auto"/>
          <w:sz w:val="24"/>
          <w:szCs w:val="24"/>
          <w:highlight w:val="none"/>
          <w:lang w:val="en-US"/>
        </w:rPr>
      </w:pPr>
      <w:r>
        <w:rPr>
          <w:rFonts w:ascii="Times New Roman" w:hAnsi="Times New Roman" w:cs="Times New Roman"/>
          <w:color w:val="auto"/>
          <w:sz w:val="24"/>
          <w:szCs w:val="24"/>
          <w:highlight w:val="none"/>
          <w:lang w:val="en-US"/>
        </w:rPr>
        <w:t>This way the development of feeder roads is meant to positively affect agriculture production. Much the same, the provision of potable water is expected to supplement health delivery in the District.</w:t>
      </w:r>
    </w:p>
    <w:p>
      <w:pPr>
        <w:rPr>
          <w:rFonts w:ascii="Times New Roman" w:hAnsi="Times New Roman" w:cs="Times New Roman"/>
          <w:color w:val="auto"/>
          <w:sz w:val="24"/>
          <w:szCs w:val="24"/>
          <w:highlight w:val="none"/>
          <w:lang w:val="en-US"/>
        </w:rPr>
      </w:pPr>
    </w:p>
    <w:p>
      <w:pPr>
        <w:rPr>
          <w:rFonts w:ascii="Times New Roman" w:hAnsi="Times New Roman" w:cs="Times New Roman"/>
          <w:b/>
          <w:color w:val="auto"/>
          <w:sz w:val="28"/>
          <w:szCs w:val="28"/>
          <w:highlight w:val="none"/>
          <w:lang w:val="en-US"/>
        </w:rPr>
        <w:sectPr>
          <w:footerReference r:id="rId6" w:type="default"/>
          <w:pgSz w:w="12240" w:h="15840"/>
          <w:pgMar w:top="1440" w:right="1440" w:bottom="1440" w:left="1440" w:header="720" w:footer="720" w:gutter="0"/>
          <w:cols w:space="720" w:num="1"/>
          <w:docGrid w:linePitch="360" w:charSpace="0"/>
        </w:sectPr>
      </w:pPr>
    </w:p>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33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1168"/>
        <w:gridCol w:w="1487"/>
        <w:gridCol w:w="896"/>
        <w:gridCol w:w="447"/>
        <w:gridCol w:w="447"/>
        <w:gridCol w:w="447"/>
        <w:gridCol w:w="447"/>
        <w:gridCol w:w="1156"/>
        <w:gridCol w:w="1060"/>
        <w:gridCol w:w="537"/>
        <w:gridCol w:w="907"/>
        <w:gridCol w:w="776"/>
        <w:gridCol w:w="1016"/>
        <w:gridCol w:w="551"/>
        <w:gridCol w:w="556"/>
        <w:gridCol w:w="877"/>
        <w:gridCol w:w="650"/>
        <w:gridCol w:w="817"/>
        <w:gridCol w:w="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5337" w:type="dxa"/>
            <w:gridSpan w:val="20"/>
          </w:tcPr>
          <w:p>
            <w:pPr>
              <w:spacing w:after="0" w:line="240" w:lineRule="auto"/>
              <w:jc w:val="center"/>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Build an industrialised, inclusive and resilient economy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35" w:hRule="atLeast"/>
        </w:trPr>
        <w:tc>
          <w:tcPr>
            <w:tcW w:w="1078"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168"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487"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89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88"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156" w:type="dxa"/>
            <w:vMerge w:val="restart"/>
          </w:tcPr>
          <w:p>
            <w:pPr>
              <w:spacing w:after="0" w:line="240" w:lineRule="auto"/>
              <w:jc w:val="center"/>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Output</w:t>
            </w:r>
          </w:p>
        </w:tc>
        <w:tc>
          <w:tcPr>
            <w:tcW w:w="4847"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433"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467"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Implementing institution /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393" w:hRule="atLeast"/>
        </w:trPr>
        <w:tc>
          <w:tcPr>
            <w:tcW w:w="1078" w:type="dxa"/>
            <w:vMerge w:val="continue"/>
          </w:tcPr>
          <w:p>
            <w:pPr>
              <w:spacing w:after="0" w:line="240" w:lineRule="auto"/>
              <w:rPr>
                <w:rFonts w:ascii="Times New Roman" w:hAnsi="Times New Roman" w:cs="Times New Roman"/>
                <w:b/>
                <w:color w:val="auto"/>
                <w:sz w:val="18"/>
                <w:szCs w:val="18"/>
                <w:highlight w:val="none"/>
                <w:lang w:val="en-GB"/>
              </w:rPr>
            </w:pPr>
          </w:p>
        </w:tc>
        <w:tc>
          <w:tcPr>
            <w:tcW w:w="1168" w:type="dxa"/>
            <w:vMerge w:val="continue"/>
          </w:tcPr>
          <w:p>
            <w:pPr>
              <w:spacing w:after="0" w:line="240" w:lineRule="auto"/>
              <w:rPr>
                <w:rFonts w:ascii="Times New Roman" w:hAnsi="Times New Roman" w:cs="Times New Roman"/>
                <w:b/>
                <w:color w:val="auto"/>
                <w:sz w:val="18"/>
                <w:szCs w:val="18"/>
                <w:highlight w:val="none"/>
                <w:lang w:val="en-GB"/>
              </w:rPr>
            </w:pPr>
          </w:p>
        </w:tc>
        <w:tc>
          <w:tcPr>
            <w:tcW w:w="1487" w:type="dxa"/>
            <w:vMerge w:val="continue"/>
          </w:tcPr>
          <w:p>
            <w:pPr>
              <w:spacing w:after="0" w:line="240" w:lineRule="auto"/>
              <w:rPr>
                <w:rFonts w:ascii="Times New Roman" w:hAnsi="Times New Roman" w:cs="Times New Roman"/>
                <w:b/>
                <w:color w:val="auto"/>
                <w:sz w:val="18"/>
                <w:szCs w:val="18"/>
                <w:highlight w:val="none"/>
                <w:lang w:val="en-GB"/>
              </w:rPr>
            </w:pPr>
          </w:p>
        </w:tc>
        <w:tc>
          <w:tcPr>
            <w:tcW w:w="896" w:type="dxa"/>
            <w:vMerge w:val="continue"/>
          </w:tcPr>
          <w:p>
            <w:pPr>
              <w:spacing w:after="0" w:line="240" w:lineRule="auto"/>
              <w:rPr>
                <w:rFonts w:ascii="Times New Roman" w:hAnsi="Times New Roman" w:cs="Times New Roman"/>
                <w:b/>
                <w:color w:val="auto"/>
                <w:sz w:val="18"/>
                <w:szCs w:val="18"/>
                <w:highlight w:val="none"/>
                <w:lang w:val="en-GB"/>
              </w:rPr>
            </w:pP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156" w:type="dxa"/>
            <w:vMerge w:val="continue"/>
          </w:tcPr>
          <w:p>
            <w:pPr>
              <w:spacing w:after="0" w:line="240" w:lineRule="auto"/>
              <w:rPr>
                <w:rFonts w:ascii="Times New Roman" w:hAnsi="Times New Roman" w:cs="Times New Roman"/>
                <w:b/>
                <w:color w:val="auto"/>
                <w:sz w:val="18"/>
                <w:szCs w:val="18"/>
                <w:highlight w:val="none"/>
                <w:lang w:val="en-GB"/>
              </w:rPr>
            </w:pPr>
          </w:p>
        </w:tc>
        <w:tc>
          <w:tcPr>
            <w:tcW w:w="106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53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90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101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51"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Others</w:t>
            </w:r>
          </w:p>
        </w:tc>
        <w:tc>
          <w:tcPr>
            <w:tcW w:w="5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87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Ongoing </w:t>
            </w:r>
          </w:p>
        </w:tc>
        <w:tc>
          <w:tcPr>
            <w:tcW w:w="65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81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ind w:right="-116"/>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 Management and Administration </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Improved management and Administration </w:t>
            </w:r>
          </w:p>
        </w:tc>
        <w:tc>
          <w:tcPr>
            <w:tcW w:w="106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10,000.00</w:t>
            </w: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p>
        </w:tc>
        <w:tc>
          <w:tcPr>
            <w:tcW w:w="776" w:type="dxa"/>
          </w:tcPr>
          <w:p>
            <w:pPr>
              <w:spacing w:after="0" w:line="240" w:lineRule="auto"/>
              <w:jc w:val="both"/>
              <w:rPr>
                <w:rFonts w:ascii="Times New Roman" w:hAnsi="Times New Roman" w:cs="Times New Roman"/>
                <w:color w:val="auto"/>
                <w:sz w:val="18"/>
                <w:szCs w:val="18"/>
                <w:highlight w:val="none"/>
                <w:lang w:val="en-US"/>
              </w:rPr>
            </w:pPr>
          </w:p>
        </w:tc>
        <w:tc>
          <w:tcPr>
            <w:tcW w:w="101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30,537.24</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2.Promotion of Birim North District Commodity Satellite Market  </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(Post-harvest loss reduction, product standardization and marketing (Grading, Packaging, Labelling, etc.)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Satellite market promoted.</w:t>
            </w:r>
          </w:p>
        </w:tc>
        <w:tc>
          <w:tcPr>
            <w:tcW w:w="106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2,000.00</w:t>
            </w: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p>
        </w:tc>
        <w:tc>
          <w:tcPr>
            <w:tcW w:w="776" w:type="dxa"/>
          </w:tcPr>
          <w:p>
            <w:pPr>
              <w:spacing w:after="0" w:line="240" w:lineRule="auto"/>
              <w:jc w:val="center"/>
              <w:rPr>
                <w:rFonts w:ascii="Times New Roman" w:hAnsi="Times New Roman" w:cs="Times New Roman"/>
                <w:color w:val="auto"/>
                <w:sz w:val="18"/>
                <w:szCs w:val="18"/>
                <w:highlight w:val="none"/>
                <w:lang w:val="en-US"/>
              </w:rPr>
            </w:pPr>
          </w:p>
        </w:tc>
        <w:tc>
          <w:tcPr>
            <w:tcW w:w="10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7,500.00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 Alternative livelihood for employment, income generation for women and reduction of malnutrition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Women empowered through alternative livelihood.</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5,500.00</w:t>
            </w:r>
          </w:p>
        </w:tc>
        <w:tc>
          <w:tcPr>
            <w:tcW w:w="776" w:type="dxa"/>
          </w:tcPr>
          <w:p>
            <w:pPr>
              <w:spacing w:after="0" w:line="240" w:lineRule="auto"/>
              <w:jc w:val="both"/>
              <w:rPr>
                <w:rFonts w:ascii="Times New Roman" w:hAnsi="Times New Roman" w:cs="Times New Roman"/>
                <w:color w:val="auto"/>
                <w:sz w:val="18"/>
                <w:szCs w:val="18"/>
                <w:highlight w:val="none"/>
                <w:lang w:val="en-US"/>
              </w:rPr>
            </w:pPr>
          </w:p>
        </w:tc>
        <w:tc>
          <w:tcPr>
            <w:tcW w:w="101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1,500.00 </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4.Improve livestock housing for higher income generation and promote farm family protein in-take through stock (rabbit, cockerels, turkey) improvement with emphasis on women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Livestock housing improved for higher income generation</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p>
        </w:tc>
        <w:tc>
          <w:tcPr>
            <w:tcW w:w="776" w:type="dxa"/>
          </w:tcPr>
          <w:p>
            <w:pPr>
              <w:spacing w:after="0" w:line="240" w:lineRule="auto"/>
              <w:jc w:val="center"/>
              <w:rPr>
                <w:rFonts w:ascii="Times New Roman" w:hAnsi="Times New Roman" w:cs="Times New Roman"/>
                <w:color w:val="auto"/>
                <w:sz w:val="18"/>
                <w:szCs w:val="18"/>
                <w:highlight w:val="none"/>
                <w:lang w:val="en-US"/>
              </w:rPr>
            </w:pPr>
          </w:p>
        </w:tc>
        <w:tc>
          <w:tcPr>
            <w:tcW w:w="10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3,000.00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5.Undertake veterinary disease surveillance in Birim North District</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(Effective clinical treatment of animals in the district, prevention and control of zoonotic diseases in livestock)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Controlled incidence of zoonotic diseases in livestock</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776" w:type="dxa"/>
          </w:tcPr>
          <w:p>
            <w:pPr>
              <w:spacing w:after="0" w:line="240" w:lineRule="auto"/>
              <w:jc w:val="center"/>
              <w:rPr>
                <w:rFonts w:ascii="Times New Roman" w:hAnsi="Times New Roman" w:cs="Times New Roman"/>
                <w:color w:val="auto"/>
                <w:sz w:val="18"/>
                <w:szCs w:val="18"/>
                <w:highlight w:val="none"/>
                <w:lang w:val="en-US"/>
              </w:rPr>
            </w:pPr>
          </w:p>
        </w:tc>
        <w:tc>
          <w:tcPr>
            <w:tcW w:w="10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1,500.00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6.Effective, efficient extension service delivery and staff capacity development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Improved extension service delivery by December 2023</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p>
        </w:tc>
        <w:tc>
          <w:tcPr>
            <w:tcW w:w="776" w:type="dxa"/>
          </w:tcPr>
          <w:p>
            <w:pPr>
              <w:spacing w:after="0" w:line="240" w:lineRule="auto"/>
              <w:jc w:val="both"/>
              <w:rPr>
                <w:rFonts w:ascii="Times New Roman" w:hAnsi="Times New Roman" w:cs="Times New Roman"/>
                <w:color w:val="auto"/>
                <w:sz w:val="18"/>
                <w:szCs w:val="18"/>
                <w:highlight w:val="none"/>
                <w:lang w:val="en-US"/>
              </w:rPr>
            </w:pPr>
          </w:p>
        </w:tc>
        <w:tc>
          <w:tcPr>
            <w:tcW w:w="101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50,160.00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7.Facilitate agricultural planning and policy implementation </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(RELC, PBB, PERD, etc.)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Improved Agricultural Planning and policy implementation.</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p>
        </w:tc>
        <w:tc>
          <w:tcPr>
            <w:tcW w:w="776" w:type="dxa"/>
          </w:tcPr>
          <w:p>
            <w:pPr>
              <w:spacing w:after="0" w:line="240" w:lineRule="auto"/>
              <w:jc w:val="center"/>
              <w:rPr>
                <w:rFonts w:ascii="Times New Roman" w:hAnsi="Times New Roman" w:cs="Times New Roman"/>
                <w:color w:val="auto"/>
                <w:sz w:val="18"/>
                <w:szCs w:val="18"/>
                <w:highlight w:val="none"/>
                <w:lang w:val="en-US"/>
              </w:rPr>
            </w:pPr>
          </w:p>
        </w:tc>
        <w:tc>
          <w:tcPr>
            <w:tcW w:w="10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8,500.00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8.Stakeholder capacity building in crop  disease and pest control (Improved crop varieties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Improved crop variety and pest control in the District.</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p>
        </w:tc>
        <w:tc>
          <w:tcPr>
            <w:tcW w:w="776" w:type="dxa"/>
          </w:tcPr>
          <w:p>
            <w:pPr>
              <w:spacing w:after="0" w:line="240" w:lineRule="auto"/>
              <w:jc w:val="center"/>
              <w:rPr>
                <w:rFonts w:ascii="Times New Roman" w:hAnsi="Times New Roman" w:cs="Times New Roman"/>
                <w:color w:val="auto"/>
                <w:sz w:val="18"/>
                <w:szCs w:val="18"/>
                <w:highlight w:val="none"/>
                <w:lang w:val="en-US"/>
              </w:rPr>
            </w:pPr>
          </w:p>
        </w:tc>
        <w:tc>
          <w:tcPr>
            <w:tcW w:w="10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3,000.00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9.Development of FBO’s (Promote agricultural innovation / technology through demonstrations, collaboration with partner institution)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Agricultural innovation/</w:t>
            </w:r>
          </w:p>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technology promoted through demonstrations. </w:t>
            </w:r>
          </w:p>
        </w:tc>
        <w:tc>
          <w:tcPr>
            <w:tcW w:w="1060" w:type="dxa"/>
          </w:tcPr>
          <w:p>
            <w:pPr>
              <w:spacing w:after="0" w:line="240" w:lineRule="auto"/>
              <w:jc w:val="both"/>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p>
        </w:tc>
        <w:tc>
          <w:tcPr>
            <w:tcW w:w="776" w:type="dxa"/>
          </w:tcPr>
          <w:p>
            <w:pPr>
              <w:spacing w:after="0" w:line="240" w:lineRule="auto"/>
              <w:jc w:val="both"/>
              <w:rPr>
                <w:rFonts w:ascii="Times New Roman" w:hAnsi="Times New Roman" w:cs="Times New Roman"/>
                <w:color w:val="auto"/>
                <w:sz w:val="18"/>
                <w:szCs w:val="18"/>
                <w:highlight w:val="none"/>
                <w:lang w:val="en-US"/>
              </w:rPr>
            </w:pPr>
          </w:p>
        </w:tc>
        <w:tc>
          <w:tcPr>
            <w:tcW w:w="1016"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4,000.00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10.Promote safe use of Agro chemicals and Fall Army Worm control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Controlled incidence of Fall Army worm infestation in the District.</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776" w:type="dxa"/>
          </w:tcPr>
          <w:p>
            <w:pPr>
              <w:spacing w:after="0" w:line="240" w:lineRule="auto"/>
              <w:jc w:val="center"/>
              <w:rPr>
                <w:rFonts w:ascii="Times New Roman" w:hAnsi="Times New Roman" w:cs="Times New Roman"/>
                <w:color w:val="auto"/>
                <w:sz w:val="18"/>
                <w:szCs w:val="18"/>
                <w:highlight w:val="none"/>
                <w:lang w:val="en-US"/>
              </w:rPr>
            </w:pPr>
          </w:p>
        </w:tc>
        <w:tc>
          <w:tcPr>
            <w:tcW w:w="10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1,500.00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11.Promote sustainable</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climate resilient agricultural production  systems (Home gardening with emphasis on women)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Improved climate resilient agricultural production systems.</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rPr>
                <w:rFonts w:ascii="Times New Roman" w:hAnsi="Times New Roman" w:cs="Times New Roman"/>
                <w:color w:val="auto"/>
                <w:sz w:val="18"/>
                <w:szCs w:val="18"/>
                <w:highlight w:val="none"/>
                <w:lang w:val="en-GB"/>
              </w:rPr>
            </w:pPr>
          </w:p>
        </w:tc>
        <w:tc>
          <w:tcPr>
            <w:tcW w:w="776" w:type="dxa"/>
          </w:tcPr>
          <w:p>
            <w:pPr>
              <w:spacing w:after="0" w:line="240" w:lineRule="auto"/>
              <w:rPr>
                <w:rFonts w:ascii="Times New Roman" w:hAnsi="Times New Roman" w:cs="Times New Roman"/>
                <w:color w:val="auto"/>
                <w:sz w:val="18"/>
                <w:szCs w:val="18"/>
                <w:highlight w:val="none"/>
                <w:lang w:val="en-GB"/>
              </w:rPr>
            </w:pPr>
          </w:p>
        </w:tc>
        <w:tc>
          <w:tcPr>
            <w:tcW w:w="101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13" w:hRule="atLeast"/>
        </w:trPr>
        <w:tc>
          <w:tcPr>
            <w:tcW w:w="107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16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Agriculture development </w:t>
            </w:r>
          </w:p>
        </w:tc>
        <w:tc>
          <w:tcPr>
            <w:tcW w:w="148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12.Promote agricultural data collection and analysis by Dec. 2023</w:t>
            </w:r>
          </w:p>
        </w:tc>
        <w:tc>
          <w:tcPr>
            <w:tcW w:w="8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5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Improved Agricultural data collection and analysis.</w:t>
            </w:r>
          </w:p>
        </w:tc>
        <w:tc>
          <w:tcPr>
            <w:tcW w:w="1060" w:type="dxa"/>
          </w:tcPr>
          <w:p>
            <w:pPr>
              <w:spacing w:after="0" w:line="240" w:lineRule="auto"/>
              <w:rPr>
                <w:rFonts w:ascii="Times New Roman" w:hAnsi="Times New Roman" w:cs="Times New Roman"/>
                <w:color w:val="auto"/>
                <w:sz w:val="18"/>
                <w:szCs w:val="18"/>
                <w:highlight w:val="none"/>
                <w:lang w:val="en-GB"/>
              </w:rPr>
            </w:pPr>
          </w:p>
        </w:tc>
        <w:tc>
          <w:tcPr>
            <w:tcW w:w="537" w:type="dxa"/>
          </w:tcPr>
          <w:p>
            <w:pPr>
              <w:spacing w:after="0" w:line="240" w:lineRule="auto"/>
              <w:rPr>
                <w:rFonts w:ascii="Times New Roman" w:hAnsi="Times New Roman" w:cs="Times New Roman"/>
                <w:color w:val="auto"/>
                <w:sz w:val="18"/>
                <w:szCs w:val="18"/>
                <w:highlight w:val="none"/>
                <w:lang w:val="en-GB"/>
              </w:rPr>
            </w:pPr>
          </w:p>
        </w:tc>
        <w:tc>
          <w:tcPr>
            <w:tcW w:w="907"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5,500</w:t>
            </w:r>
          </w:p>
        </w:tc>
        <w:tc>
          <w:tcPr>
            <w:tcW w:w="776" w:type="dxa"/>
          </w:tcPr>
          <w:p>
            <w:pPr>
              <w:spacing w:after="0" w:line="240" w:lineRule="auto"/>
              <w:jc w:val="center"/>
              <w:rPr>
                <w:rFonts w:ascii="Times New Roman" w:hAnsi="Times New Roman" w:cs="Times New Roman"/>
                <w:color w:val="auto"/>
                <w:sz w:val="18"/>
                <w:szCs w:val="18"/>
                <w:highlight w:val="none"/>
                <w:lang w:val="en-US"/>
              </w:rPr>
            </w:pPr>
          </w:p>
        </w:tc>
        <w:tc>
          <w:tcPr>
            <w:tcW w:w="10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4,000.00</w:t>
            </w:r>
          </w:p>
        </w:tc>
        <w:tc>
          <w:tcPr>
            <w:tcW w:w="551"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87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81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 xml:space="preserve">  Annual Action Plan (AAP) – 2023 </w:t>
      </w:r>
    </w:p>
    <w:tbl>
      <w:tblPr>
        <w:tblStyle w:val="50"/>
        <w:tblW w:w="1503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1173"/>
        <w:gridCol w:w="1385"/>
        <w:gridCol w:w="976"/>
        <w:gridCol w:w="444"/>
        <w:gridCol w:w="444"/>
        <w:gridCol w:w="444"/>
        <w:gridCol w:w="444"/>
        <w:gridCol w:w="1281"/>
        <w:gridCol w:w="926"/>
        <w:gridCol w:w="926"/>
        <w:gridCol w:w="926"/>
        <w:gridCol w:w="768"/>
        <w:gridCol w:w="453"/>
        <w:gridCol w:w="513"/>
        <w:gridCol w:w="551"/>
        <w:gridCol w:w="631"/>
        <w:gridCol w:w="602"/>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5030" w:type="dxa"/>
            <w:gridSpan w:val="19"/>
          </w:tcPr>
          <w:p>
            <w:pPr>
              <w:spacing w:after="0" w:line="240" w:lineRule="auto"/>
              <w:jc w:val="center"/>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Build an industrialised, inclusive and resilient economy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203"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245"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472"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1034"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88"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36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Output</w:t>
            </w:r>
          </w:p>
        </w:tc>
        <w:tc>
          <w:tcPr>
            <w:tcW w:w="4686"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93"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048"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Implementing institution /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203" w:type="dxa"/>
            <w:vMerge w:val="continue"/>
          </w:tcPr>
          <w:p>
            <w:pPr>
              <w:spacing w:after="0" w:line="240" w:lineRule="auto"/>
              <w:rPr>
                <w:rFonts w:ascii="Times New Roman" w:hAnsi="Times New Roman" w:cs="Times New Roman"/>
                <w:b/>
                <w:color w:val="auto"/>
                <w:sz w:val="18"/>
                <w:szCs w:val="18"/>
                <w:highlight w:val="none"/>
                <w:lang w:val="en-GB"/>
              </w:rPr>
            </w:pPr>
          </w:p>
        </w:tc>
        <w:tc>
          <w:tcPr>
            <w:tcW w:w="1245" w:type="dxa"/>
            <w:vMerge w:val="continue"/>
          </w:tcPr>
          <w:p>
            <w:pPr>
              <w:spacing w:after="0" w:line="240" w:lineRule="auto"/>
              <w:rPr>
                <w:rFonts w:ascii="Times New Roman" w:hAnsi="Times New Roman" w:cs="Times New Roman"/>
                <w:b/>
                <w:color w:val="auto"/>
                <w:sz w:val="18"/>
                <w:szCs w:val="18"/>
                <w:highlight w:val="none"/>
                <w:lang w:val="en-GB"/>
              </w:rPr>
            </w:pPr>
          </w:p>
        </w:tc>
        <w:tc>
          <w:tcPr>
            <w:tcW w:w="1472" w:type="dxa"/>
            <w:vMerge w:val="continue"/>
          </w:tcPr>
          <w:p>
            <w:pPr>
              <w:spacing w:after="0" w:line="240" w:lineRule="auto"/>
              <w:rPr>
                <w:rFonts w:ascii="Times New Roman" w:hAnsi="Times New Roman" w:cs="Times New Roman"/>
                <w:b/>
                <w:color w:val="auto"/>
                <w:sz w:val="18"/>
                <w:szCs w:val="18"/>
                <w:highlight w:val="none"/>
                <w:lang w:val="en-GB"/>
              </w:rPr>
            </w:pPr>
          </w:p>
        </w:tc>
        <w:tc>
          <w:tcPr>
            <w:tcW w:w="1034" w:type="dxa"/>
            <w:vMerge w:val="continue"/>
          </w:tcPr>
          <w:p>
            <w:pPr>
              <w:spacing w:after="0" w:line="240" w:lineRule="auto"/>
              <w:rPr>
                <w:rFonts w:ascii="Times New Roman" w:hAnsi="Times New Roman" w:cs="Times New Roman"/>
                <w:b/>
                <w:color w:val="auto"/>
                <w:sz w:val="18"/>
                <w:szCs w:val="18"/>
                <w:highlight w:val="none"/>
                <w:lang w:val="en-GB"/>
              </w:rPr>
            </w:pP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361" w:type="dxa"/>
            <w:vMerge w:val="continue"/>
          </w:tcPr>
          <w:p>
            <w:pPr>
              <w:spacing w:after="0" w:line="240" w:lineRule="auto"/>
              <w:rPr>
                <w:rFonts w:ascii="Times New Roman" w:hAnsi="Times New Roman" w:cs="Times New Roman"/>
                <w:b/>
                <w:color w:val="auto"/>
                <w:sz w:val="18"/>
                <w:szCs w:val="18"/>
                <w:highlight w:val="none"/>
                <w:lang w:val="en-GB"/>
              </w:rPr>
            </w:pPr>
          </w:p>
        </w:tc>
        <w:tc>
          <w:tcPr>
            <w:tcW w:w="979"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979"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979"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1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63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going </w:t>
            </w:r>
          </w:p>
        </w:tc>
        <w:tc>
          <w:tcPr>
            <w:tcW w:w="60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441"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13.Palm oil production activities conducted by Dec. 2023.</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Nkwateng </w:t>
            </w:r>
          </w:p>
        </w:tc>
        <w:tc>
          <w:tcPr>
            <w:tcW w:w="447" w:type="dxa"/>
          </w:tcPr>
          <w:p>
            <w:pPr>
              <w:spacing w:after="0" w:line="240" w:lineRule="auto"/>
              <w:rPr>
                <w:rFonts w:ascii="Times New Roman" w:hAnsi="Times New Roman" w:cs="Times New Roman"/>
                <w:color w:val="auto"/>
                <w:sz w:val="18"/>
                <w:szCs w:val="18"/>
                <w:highlight w:val="none"/>
                <w:lang w:val="en-GB"/>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GB"/>
              </w:rPr>
            </w:pPr>
          </w:p>
        </w:tc>
        <w:tc>
          <w:tcPr>
            <w:tcW w:w="1361"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Enhanced Palm Oil Production in the district.</w:t>
            </w:r>
          </w:p>
        </w:tc>
        <w:tc>
          <w:tcPr>
            <w:tcW w:w="979" w:type="dxa"/>
          </w:tcPr>
          <w:p>
            <w:pPr>
              <w:spacing w:after="0" w:line="240" w:lineRule="auto"/>
              <w:jc w:val="both"/>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6,500.00</w:t>
            </w:r>
          </w:p>
        </w:tc>
        <w:tc>
          <w:tcPr>
            <w:tcW w:w="776" w:type="dxa"/>
          </w:tcPr>
          <w:p>
            <w:pPr>
              <w:spacing w:after="0" w:line="240" w:lineRule="auto"/>
              <w:jc w:val="both"/>
              <w:rPr>
                <w:rFonts w:ascii="Times New Roman" w:hAnsi="Times New Roman" w:cs="Times New Roman"/>
                <w:color w:val="auto"/>
                <w:sz w:val="18"/>
                <w:szCs w:val="18"/>
                <w:highlight w:val="none"/>
                <w:lang w:val="en-US"/>
              </w:rPr>
            </w:pPr>
          </w:p>
        </w:tc>
        <w:tc>
          <w:tcPr>
            <w:tcW w:w="456" w:type="dxa"/>
          </w:tcPr>
          <w:p>
            <w:pPr>
              <w:spacing w:after="0" w:line="240" w:lineRule="auto"/>
              <w:jc w:val="both"/>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GB"/>
              </w:rPr>
            </w:pP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 DDA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14.Fashion designing and production by Dec. 2023. </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New Abirem</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Enhanced job creation through fashion designing and production.</w:t>
            </w:r>
          </w:p>
        </w:tc>
        <w:tc>
          <w:tcPr>
            <w:tcW w:w="979" w:type="dxa"/>
          </w:tcPr>
          <w:p>
            <w:pPr>
              <w:spacing w:after="0" w:line="240" w:lineRule="auto"/>
              <w:jc w:val="both"/>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776" w:type="dxa"/>
          </w:tcPr>
          <w:p>
            <w:pPr>
              <w:spacing w:after="0" w:line="240" w:lineRule="auto"/>
              <w:jc w:val="both"/>
              <w:rPr>
                <w:rFonts w:ascii="Times New Roman" w:hAnsi="Times New Roman" w:cs="Times New Roman"/>
                <w:color w:val="auto"/>
                <w:sz w:val="18"/>
                <w:szCs w:val="18"/>
                <w:highlight w:val="none"/>
                <w:lang w:val="en-US"/>
              </w:rPr>
            </w:pPr>
          </w:p>
        </w:tc>
        <w:tc>
          <w:tcPr>
            <w:tcW w:w="456" w:type="dxa"/>
          </w:tcPr>
          <w:p>
            <w:pPr>
              <w:spacing w:after="0" w:line="240" w:lineRule="auto"/>
              <w:jc w:val="both"/>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15. Training in Bee keeping done by Dec. 2023.</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Ntronang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Improved honey production and job creation</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6,000.00</w:t>
            </w: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GB"/>
              </w:rPr>
            </w:pP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16.Formation of Farmer Based Organisation (FBO) by Dec. 2023.</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Farmer Based organisation formed.</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1,000.00</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(MAG)</w:t>
            </w: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GB"/>
              </w:rPr>
            </w:pP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17.Occupational Safety, Health and Environmental Management (OSHEM) by Dec. 2023.</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Mpintimpi / Afosu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Enhanced Environmental Health and Occupational safety </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5,000.00</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(MAG)</w:t>
            </w: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GB"/>
              </w:rPr>
            </w:pP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18.Provision of start-up kits for graduate apprentices by Dec. 2023.</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District wide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Enhanced job creation and reduced incidence of unemployment</w:t>
            </w: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10,000.00</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25,000.00</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(MAG)</w:t>
            </w: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19.Organisation of NVTI examination </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New Abirem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Increased knowledge and job creation.</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5,000.00</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20</w:t>
            </w:r>
            <w:r>
              <w:rPr>
                <w:rFonts w:ascii="Times New Roman" w:hAnsi="Times New Roman" w:cs="Times New Roman"/>
                <w:color w:val="auto"/>
                <w:sz w:val="18"/>
                <w:szCs w:val="18"/>
                <w:highlight w:val="none"/>
                <w:lang w:val="en-GB"/>
              </w:rPr>
              <w:t>.Facilitation of Rural Enterprises Development Fund (REDF) loan facility done by Dec. 2023.</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District wide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Promote local economic development through job creation.</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10,000.00</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GB"/>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BNDA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21.General business financial management conducted by Dec. 2023.</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Nkwateng / Mamanso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Improved business management in the District</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4,000.00</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GB"/>
              </w:rPr>
            </w:pP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22. Identification and Development of tourist sites in the District done by Dec. 2023</w:t>
            </w:r>
          </w:p>
        </w:tc>
        <w:tc>
          <w:tcPr>
            <w:tcW w:w="103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Promote tourism in the District .</w:t>
            </w:r>
          </w:p>
        </w:tc>
        <w:tc>
          <w:tcPr>
            <w:tcW w:w="979" w:type="dxa"/>
          </w:tcPr>
          <w:p>
            <w:pPr>
              <w:spacing w:after="0" w:line="240" w:lineRule="auto"/>
              <w:rPr>
                <w:rFonts w:ascii="Times New Roman" w:hAnsi="Times New Roman" w:cs="Times New Roman"/>
                <w:color w:val="auto"/>
                <w:sz w:val="18"/>
                <w:szCs w:val="18"/>
                <w:highlight w:val="none"/>
                <w:lang w:val="en-GB"/>
              </w:rPr>
            </w:pP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10,000.00</w:t>
            </w:r>
          </w:p>
        </w:tc>
        <w:tc>
          <w:tcPr>
            <w:tcW w:w="979"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20,000.00</w:t>
            </w: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517" w:type="dxa"/>
          </w:tcPr>
          <w:p>
            <w:pPr>
              <w:spacing w:after="0" w:line="240" w:lineRule="auto"/>
              <w:rPr>
                <w:rFonts w:ascii="Times New Roman" w:hAnsi="Times New Roman" w:cs="Times New Roman"/>
                <w:color w:val="auto"/>
                <w:sz w:val="18"/>
                <w:szCs w:val="18"/>
                <w:highlight w:val="none"/>
                <w:lang w:val="en-GB"/>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GB"/>
              </w:rPr>
            </w:pP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DPO </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 CULTURE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4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72"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23.Business counselling and minority services conducted by Dec. 2023.</w:t>
            </w:r>
          </w:p>
        </w:tc>
        <w:tc>
          <w:tcPr>
            <w:tcW w:w="103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Akoase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business and minority services.</w:t>
            </w:r>
          </w:p>
        </w:tc>
        <w:tc>
          <w:tcPr>
            <w:tcW w:w="979" w:type="dxa"/>
          </w:tcPr>
          <w:p>
            <w:pPr>
              <w:spacing w:after="0" w:line="240" w:lineRule="auto"/>
              <w:rPr>
                <w:rFonts w:ascii="Times New Roman" w:hAnsi="Times New Roman" w:cs="Times New Roman"/>
                <w:color w:val="auto"/>
                <w:sz w:val="18"/>
                <w:szCs w:val="18"/>
                <w:highlight w:val="none"/>
                <w:lang w:val="en-US"/>
              </w:rPr>
            </w:pPr>
          </w:p>
        </w:tc>
        <w:tc>
          <w:tcPr>
            <w:tcW w:w="97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w:t>
            </w:r>
          </w:p>
        </w:tc>
        <w:tc>
          <w:tcPr>
            <w:tcW w:w="979"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US"/>
              </w:rPr>
            </w:pP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BAC</w:t>
            </w:r>
          </w:p>
        </w:tc>
        <w:tc>
          <w:tcPr>
            <w:tcW w:w="44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 xml:space="preserve">  Annual Action Plan (AAP) – 2023</w:t>
      </w:r>
    </w:p>
    <w:tbl>
      <w:tblPr>
        <w:tblStyle w:val="50"/>
        <w:tblW w:w="1521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5"/>
        <w:gridCol w:w="203"/>
        <w:gridCol w:w="1291"/>
        <w:gridCol w:w="1455"/>
        <w:gridCol w:w="1128"/>
        <w:gridCol w:w="448"/>
        <w:gridCol w:w="448"/>
        <w:gridCol w:w="448"/>
        <w:gridCol w:w="448"/>
        <w:gridCol w:w="1096"/>
        <w:gridCol w:w="720"/>
        <w:gridCol w:w="1011"/>
        <w:gridCol w:w="879"/>
        <w:gridCol w:w="776"/>
        <w:gridCol w:w="456"/>
        <w:gridCol w:w="589"/>
        <w:gridCol w:w="11"/>
        <w:gridCol w:w="563"/>
        <w:gridCol w:w="684"/>
        <w:gridCol w:w="11"/>
        <w:gridCol w:w="616"/>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045" w:type="dxa"/>
          </w:tcPr>
          <w:p>
            <w:pPr>
              <w:spacing w:after="0" w:line="240" w:lineRule="auto"/>
              <w:rPr>
                <w:rFonts w:ascii="Times New Roman" w:hAnsi="Times New Roman" w:cs="Times New Roman"/>
                <w:b/>
                <w:color w:val="auto"/>
                <w:sz w:val="18"/>
                <w:szCs w:val="18"/>
                <w:highlight w:val="none"/>
                <w:lang w:val="en-GB"/>
              </w:rPr>
            </w:pPr>
          </w:p>
        </w:tc>
        <w:tc>
          <w:tcPr>
            <w:tcW w:w="14165" w:type="dxa"/>
            <w:gridSpan w:val="21"/>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Build an industrialised, inclusive and resilient economy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248"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29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455"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1128"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92"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09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Expected Output </w:t>
            </w:r>
          </w:p>
        </w:tc>
        <w:tc>
          <w:tcPr>
            <w:tcW w:w="4442" w:type="dxa"/>
            <w:gridSpan w:val="7"/>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258" w:type="dxa"/>
            <w:gridSpan w:val="3"/>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500"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Implementing institution /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248"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291" w:type="dxa"/>
            <w:vMerge w:val="continue"/>
          </w:tcPr>
          <w:p>
            <w:pPr>
              <w:spacing w:after="0" w:line="240" w:lineRule="auto"/>
              <w:rPr>
                <w:rFonts w:ascii="Times New Roman" w:hAnsi="Times New Roman" w:cs="Times New Roman"/>
                <w:b/>
                <w:color w:val="auto"/>
                <w:sz w:val="18"/>
                <w:szCs w:val="18"/>
                <w:highlight w:val="none"/>
                <w:lang w:val="en-GB"/>
              </w:rPr>
            </w:pPr>
          </w:p>
        </w:tc>
        <w:tc>
          <w:tcPr>
            <w:tcW w:w="1455" w:type="dxa"/>
            <w:vMerge w:val="continue"/>
          </w:tcPr>
          <w:p>
            <w:pPr>
              <w:spacing w:after="0" w:line="240" w:lineRule="auto"/>
              <w:rPr>
                <w:rFonts w:ascii="Times New Roman" w:hAnsi="Times New Roman" w:cs="Times New Roman"/>
                <w:b/>
                <w:color w:val="auto"/>
                <w:sz w:val="18"/>
                <w:szCs w:val="18"/>
                <w:highlight w:val="none"/>
                <w:lang w:val="en-GB"/>
              </w:rPr>
            </w:pPr>
          </w:p>
        </w:tc>
        <w:tc>
          <w:tcPr>
            <w:tcW w:w="1128" w:type="dxa"/>
            <w:vMerge w:val="continue"/>
          </w:tcPr>
          <w:p>
            <w:pPr>
              <w:spacing w:after="0" w:line="240" w:lineRule="auto"/>
              <w:rPr>
                <w:rFonts w:ascii="Times New Roman" w:hAnsi="Times New Roman" w:cs="Times New Roman"/>
                <w:b/>
                <w:color w:val="auto"/>
                <w:sz w:val="18"/>
                <w:szCs w:val="18"/>
                <w:highlight w:val="none"/>
                <w:lang w:val="en-GB"/>
              </w:rPr>
            </w:pP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096" w:type="dxa"/>
            <w:vMerge w:val="continue"/>
          </w:tcPr>
          <w:p>
            <w:pPr>
              <w:spacing w:after="0" w:line="240" w:lineRule="auto"/>
              <w:rPr>
                <w:rFonts w:ascii="Times New Roman" w:hAnsi="Times New Roman" w:cs="Times New Roman"/>
                <w:b/>
                <w:color w:val="auto"/>
                <w:sz w:val="18"/>
                <w:szCs w:val="18"/>
                <w:highlight w:val="none"/>
                <w:lang w:val="en-GB"/>
              </w:rPr>
            </w:pPr>
          </w:p>
        </w:tc>
        <w:tc>
          <w:tcPr>
            <w:tcW w:w="72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011"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879"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89"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74"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68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going </w:t>
            </w:r>
          </w:p>
        </w:tc>
        <w:tc>
          <w:tcPr>
            <w:tcW w:w="627"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88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48"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91"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55"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24.Formation and registration of co-operatives societies. By Dec. 2023.</w:t>
            </w:r>
          </w:p>
        </w:tc>
        <w:tc>
          <w:tcPr>
            <w:tcW w:w="112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Cooperative society formed and registered.</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0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879"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89" w:type="dxa"/>
          </w:tcPr>
          <w:p>
            <w:pPr>
              <w:spacing w:after="0" w:line="240" w:lineRule="auto"/>
              <w:rPr>
                <w:rFonts w:ascii="Times New Roman" w:hAnsi="Times New Roman" w:cs="Times New Roman"/>
                <w:color w:val="auto"/>
                <w:sz w:val="18"/>
                <w:szCs w:val="18"/>
                <w:highlight w:val="none"/>
                <w:lang w:val="en-US"/>
              </w:rPr>
            </w:pPr>
          </w:p>
        </w:tc>
        <w:tc>
          <w:tcPr>
            <w:tcW w:w="574" w:type="dxa"/>
            <w:gridSpan w:val="2"/>
          </w:tcPr>
          <w:p>
            <w:pPr>
              <w:spacing w:after="0" w:line="240" w:lineRule="auto"/>
              <w:rPr>
                <w:rFonts w:ascii="Times New Roman" w:hAnsi="Times New Roman" w:cs="Times New Roman"/>
                <w:color w:val="auto"/>
                <w:sz w:val="18"/>
                <w:szCs w:val="18"/>
                <w:highlight w:val="none"/>
                <w:lang w:val="en-US"/>
              </w:rPr>
            </w:pPr>
          </w:p>
        </w:tc>
        <w:tc>
          <w:tcPr>
            <w:tcW w:w="68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7"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Co-op.</w:t>
            </w:r>
          </w:p>
        </w:tc>
        <w:tc>
          <w:tcPr>
            <w:tcW w:w="88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48"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91"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55"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25.Training of co-operatives society members by Dec. 2023</w:t>
            </w:r>
          </w:p>
        </w:tc>
        <w:tc>
          <w:tcPr>
            <w:tcW w:w="112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cooperative service delivery.</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0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879"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89" w:type="dxa"/>
          </w:tcPr>
          <w:p>
            <w:pPr>
              <w:spacing w:after="0" w:line="240" w:lineRule="auto"/>
              <w:rPr>
                <w:rFonts w:ascii="Times New Roman" w:hAnsi="Times New Roman" w:cs="Times New Roman"/>
                <w:color w:val="auto"/>
                <w:sz w:val="18"/>
                <w:szCs w:val="18"/>
                <w:highlight w:val="none"/>
                <w:lang w:val="en-US"/>
              </w:rPr>
            </w:pPr>
          </w:p>
        </w:tc>
        <w:tc>
          <w:tcPr>
            <w:tcW w:w="574" w:type="dxa"/>
            <w:gridSpan w:val="2"/>
          </w:tcPr>
          <w:p>
            <w:pPr>
              <w:spacing w:after="0" w:line="240" w:lineRule="auto"/>
              <w:rPr>
                <w:rFonts w:ascii="Times New Roman" w:hAnsi="Times New Roman" w:cs="Times New Roman"/>
                <w:color w:val="auto"/>
                <w:sz w:val="18"/>
                <w:szCs w:val="18"/>
                <w:highlight w:val="none"/>
                <w:lang w:val="en-US"/>
              </w:rPr>
            </w:pPr>
          </w:p>
        </w:tc>
        <w:tc>
          <w:tcPr>
            <w:tcW w:w="68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7"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Co-op.</w:t>
            </w:r>
          </w:p>
        </w:tc>
        <w:tc>
          <w:tcPr>
            <w:tcW w:w="88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48"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Economic development </w:t>
            </w:r>
          </w:p>
        </w:tc>
        <w:tc>
          <w:tcPr>
            <w:tcW w:w="1291"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Trade, tourism and industrialised development </w:t>
            </w:r>
          </w:p>
        </w:tc>
        <w:tc>
          <w:tcPr>
            <w:tcW w:w="1455"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26.Auditing of co-operatives societies by Dec. 2023.</w:t>
            </w:r>
          </w:p>
        </w:tc>
        <w:tc>
          <w:tcPr>
            <w:tcW w:w="112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Enhanced cooperative activities.</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011" w:type="dxa"/>
          </w:tcPr>
          <w:p>
            <w:pPr>
              <w:spacing w:after="0" w:line="240" w:lineRule="auto"/>
              <w:rPr>
                <w:rFonts w:ascii="Times New Roman" w:hAnsi="Times New Roman" w:cs="Times New Roman"/>
                <w:color w:val="auto"/>
                <w:sz w:val="18"/>
                <w:szCs w:val="18"/>
                <w:highlight w:val="none"/>
                <w:lang w:val="en-US"/>
              </w:rPr>
            </w:pPr>
          </w:p>
        </w:tc>
        <w:tc>
          <w:tcPr>
            <w:tcW w:w="87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89" w:type="dxa"/>
          </w:tcPr>
          <w:p>
            <w:pPr>
              <w:spacing w:after="0" w:line="240" w:lineRule="auto"/>
              <w:rPr>
                <w:rFonts w:ascii="Times New Roman" w:hAnsi="Times New Roman" w:cs="Times New Roman"/>
                <w:color w:val="auto"/>
                <w:sz w:val="18"/>
                <w:szCs w:val="18"/>
                <w:highlight w:val="none"/>
                <w:lang w:val="en-US"/>
              </w:rPr>
            </w:pPr>
          </w:p>
        </w:tc>
        <w:tc>
          <w:tcPr>
            <w:tcW w:w="574" w:type="dxa"/>
            <w:gridSpan w:val="2"/>
          </w:tcPr>
          <w:p>
            <w:pPr>
              <w:spacing w:after="0" w:line="240" w:lineRule="auto"/>
              <w:rPr>
                <w:rFonts w:ascii="Times New Roman" w:hAnsi="Times New Roman" w:cs="Times New Roman"/>
                <w:color w:val="auto"/>
                <w:sz w:val="18"/>
                <w:szCs w:val="18"/>
                <w:highlight w:val="none"/>
                <w:lang w:val="en-US"/>
              </w:rPr>
            </w:pPr>
          </w:p>
        </w:tc>
        <w:tc>
          <w:tcPr>
            <w:tcW w:w="68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7"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Co-op.</w:t>
            </w:r>
          </w:p>
        </w:tc>
        <w:tc>
          <w:tcPr>
            <w:tcW w:w="88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 xml:space="preserve">  Annual Action Plan (AAP) – 2023</w:t>
      </w:r>
      <w:r>
        <w:rPr>
          <w:rFonts w:ascii="Times New Roman" w:hAnsi="Times New Roman" w:cs="Times New Roman"/>
          <w:b/>
          <w:color w:val="auto"/>
          <w:sz w:val="28"/>
          <w:szCs w:val="28"/>
          <w:highlight w:val="none"/>
          <w:lang w:val="en-US"/>
        </w:rPr>
        <w:tab/>
      </w:r>
    </w:p>
    <w:tbl>
      <w:tblPr>
        <w:tblStyle w:val="50"/>
        <w:tblW w:w="1530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793"/>
        <w:gridCol w:w="1076"/>
        <w:gridCol w:w="1048"/>
        <w:gridCol w:w="1213"/>
        <w:gridCol w:w="448"/>
        <w:gridCol w:w="448"/>
        <w:gridCol w:w="448"/>
        <w:gridCol w:w="448"/>
        <w:gridCol w:w="1071"/>
        <w:gridCol w:w="720"/>
        <w:gridCol w:w="1185"/>
        <w:gridCol w:w="1116"/>
        <w:gridCol w:w="1044"/>
        <w:gridCol w:w="473"/>
        <w:gridCol w:w="557"/>
        <w:gridCol w:w="14"/>
        <w:gridCol w:w="564"/>
        <w:gridCol w:w="724"/>
        <w:gridCol w:w="628"/>
        <w:gridCol w:w="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547" w:type="dxa"/>
          </w:tcPr>
          <w:p>
            <w:pPr>
              <w:tabs>
                <w:tab w:val="left" w:pos="14734"/>
              </w:tabs>
              <w:spacing w:after="0" w:line="240" w:lineRule="auto"/>
              <w:ind w:left="435"/>
              <w:rPr>
                <w:rFonts w:ascii="Times New Roman" w:hAnsi="Times New Roman" w:cs="Times New Roman"/>
                <w:b/>
                <w:color w:val="auto"/>
                <w:sz w:val="18"/>
                <w:szCs w:val="18"/>
                <w:highlight w:val="none"/>
                <w:lang w:val="en-GB"/>
              </w:rPr>
            </w:pPr>
          </w:p>
        </w:tc>
        <w:tc>
          <w:tcPr>
            <w:tcW w:w="14753" w:type="dxa"/>
            <w:gridSpan w:val="20"/>
          </w:tcPr>
          <w:p>
            <w:pPr>
              <w:tabs>
                <w:tab w:val="left" w:pos="14734"/>
              </w:tabs>
              <w:spacing w:after="0" w:line="240" w:lineRule="auto"/>
              <w:ind w:left="435"/>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Create equitable, healthy and discipline society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340" w:type="dxa"/>
            <w:gridSpan w:val="2"/>
            <w:vMerge w:val="restart"/>
          </w:tcPr>
          <w:p>
            <w:pPr>
              <w:tabs>
                <w:tab w:val="left" w:pos="552"/>
              </w:tabs>
              <w:spacing w:after="0" w:line="240" w:lineRule="auto"/>
              <w:ind w:right="-181"/>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07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048"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1213"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92"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07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Expected Output </w:t>
            </w:r>
          </w:p>
        </w:tc>
        <w:tc>
          <w:tcPr>
            <w:tcW w:w="5109" w:type="dxa"/>
            <w:gridSpan w:val="7"/>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288"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363"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Implementing institution /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1340"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076" w:type="dxa"/>
            <w:vMerge w:val="continue"/>
          </w:tcPr>
          <w:p>
            <w:pPr>
              <w:spacing w:after="0" w:line="240" w:lineRule="auto"/>
              <w:rPr>
                <w:rFonts w:ascii="Times New Roman" w:hAnsi="Times New Roman" w:cs="Times New Roman"/>
                <w:b/>
                <w:color w:val="auto"/>
                <w:sz w:val="18"/>
                <w:szCs w:val="18"/>
                <w:highlight w:val="none"/>
                <w:lang w:val="en-GB"/>
              </w:rPr>
            </w:pPr>
          </w:p>
        </w:tc>
        <w:tc>
          <w:tcPr>
            <w:tcW w:w="1048" w:type="dxa"/>
            <w:vMerge w:val="continue"/>
          </w:tcPr>
          <w:p>
            <w:pPr>
              <w:spacing w:after="0" w:line="240" w:lineRule="auto"/>
              <w:rPr>
                <w:rFonts w:ascii="Times New Roman" w:hAnsi="Times New Roman" w:cs="Times New Roman"/>
                <w:b/>
                <w:color w:val="auto"/>
                <w:sz w:val="18"/>
                <w:szCs w:val="18"/>
                <w:highlight w:val="none"/>
                <w:lang w:val="en-GB"/>
              </w:rPr>
            </w:pPr>
          </w:p>
        </w:tc>
        <w:tc>
          <w:tcPr>
            <w:tcW w:w="1213" w:type="dxa"/>
            <w:vMerge w:val="continue"/>
          </w:tcPr>
          <w:p>
            <w:pPr>
              <w:spacing w:after="0" w:line="240" w:lineRule="auto"/>
              <w:rPr>
                <w:rFonts w:ascii="Times New Roman" w:hAnsi="Times New Roman" w:cs="Times New Roman"/>
                <w:b/>
                <w:color w:val="auto"/>
                <w:sz w:val="18"/>
                <w:szCs w:val="18"/>
                <w:highlight w:val="none"/>
                <w:lang w:val="en-GB"/>
              </w:rPr>
            </w:pP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071" w:type="dxa"/>
            <w:vMerge w:val="continue"/>
          </w:tcPr>
          <w:p>
            <w:pPr>
              <w:spacing w:after="0" w:line="240" w:lineRule="auto"/>
              <w:rPr>
                <w:rFonts w:ascii="Times New Roman" w:hAnsi="Times New Roman" w:cs="Times New Roman"/>
                <w:b/>
                <w:color w:val="auto"/>
                <w:sz w:val="18"/>
                <w:szCs w:val="18"/>
                <w:highlight w:val="none"/>
                <w:lang w:val="en-GB"/>
              </w:rPr>
            </w:pPr>
          </w:p>
        </w:tc>
        <w:tc>
          <w:tcPr>
            <w:tcW w:w="72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185"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111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104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73"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5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78"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72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going </w:t>
            </w:r>
          </w:p>
        </w:tc>
        <w:tc>
          <w:tcPr>
            <w:tcW w:w="62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735"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27.Construction of 5No. 3-Unit classroom block by Dec. 2023.</w:t>
            </w:r>
          </w:p>
        </w:tc>
        <w:tc>
          <w:tcPr>
            <w:tcW w:w="121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Akoase R/C, Afosu,Tweapease, Ntronang Presby, Domeabra </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Improved educational infrastructure </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18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299,000.00</w:t>
            </w:r>
          </w:p>
        </w:tc>
        <w:tc>
          <w:tcPr>
            <w:tcW w:w="111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348,500.00</w:t>
            </w:r>
          </w:p>
        </w:tc>
        <w:tc>
          <w:tcPr>
            <w:tcW w:w="1044" w:type="dxa"/>
          </w:tcPr>
          <w:p>
            <w:pPr>
              <w:spacing w:after="0" w:line="240" w:lineRule="auto"/>
              <w:rPr>
                <w:rFonts w:ascii="Times New Roman" w:hAnsi="Times New Roman" w:cs="Times New Roman"/>
                <w:color w:val="auto"/>
                <w:sz w:val="18"/>
                <w:szCs w:val="18"/>
                <w:highlight w:val="none"/>
                <w:lang w:val="en-US"/>
              </w:rPr>
            </w:pPr>
          </w:p>
        </w:tc>
        <w:tc>
          <w:tcPr>
            <w:tcW w:w="473" w:type="dxa"/>
          </w:tcPr>
          <w:p>
            <w:pPr>
              <w:spacing w:after="0" w:line="240" w:lineRule="auto"/>
              <w:rPr>
                <w:rFonts w:ascii="Times New Roman" w:hAnsi="Times New Roman" w:cs="Times New Roman"/>
                <w:color w:val="auto"/>
                <w:sz w:val="18"/>
                <w:szCs w:val="18"/>
                <w:highlight w:val="none"/>
                <w:lang w:val="en-US"/>
              </w:rPr>
            </w:pPr>
          </w:p>
        </w:tc>
        <w:tc>
          <w:tcPr>
            <w:tcW w:w="557" w:type="dxa"/>
          </w:tcPr>
          <w:p>
            <w:pPr>
              <w:spacing w:after="0" w:line="240" w:lineRule="auto"/>
              <w:rPr>
                <w:rFonts w:ascii="Times New Roman" w:hAnsi="Times New Roman" w:cs="Times New Roman"/>
                <w:color w:val="auto"/>
                <w:sz w:val="18"/>
                <w:szCs w:val="18"/>
                <w:highlight w:val="none"/>
                <w:lang w:val="en-US"/>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28.Rehabilitation Of 1no. 3-Unit Classroom Block  by Dec. 2023</w:t>
            </w:r>
          </w:p>
        </w:tc>
        <w:tc>
          <w:tcPr>
            <w:tcW w:w="121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Kuntunase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18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rPr>
              <w:t>164,635.99</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1044" w:type="dxa"/>
          </w:tcPr>
          <w:p>
            <w:pPr>
              <w:spacing w:after="0" w:line="240" w:lineRule="auto"/>
              <w:rPr>
                <w:rFonts w:ascii="Times New Roman" w:hAnsi="Times New Roman" w:cs="Times New Roman"/>
                <w:color w:val="auto"/>
                <w:sz w:val="18"/>
                <w:szCs w:val="18"/>
                <w:highlight w:val="none"/>
                <w:lang w:val="en-US"/>
              </w:rPr>
            </w:pPr>
          </w:p>
        </w:tc>
        <w:tc>
          <w:tcPr>
            <w:tcW w:w="473" w:type="dxa"/>
          </w:tcPr>
          <w:p>
            <w:pPr>
              <w:spacing w:after="0" w:line="240" w:lineRule="auto"/>
              <w:rPr>
                <w:rFonts w:ascii="Times New Roman" w:hAnsi="Times New Roman" w:cs="Times New Roman"/>
                <w:color w:val="auto"/>
                <w:sz w:val="18"/>
                <w:szCs w:val="18"/>
                <w:highlight w:val="none"/>
                <w:lang w:val="en-US"/>
              </w:rPr>
            </w:pPr>
          </w:p>
        </w:tc>
        <w:tc>
          <w:tcPr>
            <w:tcW w:w="557" w:type="dxa"/>
          </w:tcPr>
          <w:p>
            <w:pPr>
              <w:spacing w:after="0" w:line="240" w:lineRule="auto"/>
              <w:rPr>
                <w:rFonts w:ascii="Times New Roman" w:hAnsi="Times New Roman" w:cs="Times New Roman"/>
                <w:color w:val="auto"/>
                <w:sz w:val="18"/>
                <w:szCs w:val="18"/>
                <w:highlight w:val="none"/>
                <w:lang w:val="en-US"/>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29.Construction of 4No. 3-Unit classroom block with emphasis on women and Children by Dec. 2023</w:t>
            </w:r>
          </w:p>
        </w:tc>
        <w:tc>
          <w:tcPr>
            <w:tcW w:w="121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Okaikrom, Abohema,  Akoase D/A,  Adadekrom,  </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18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250,000.00</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1044" w:type="dxa"/>
          </w:tcPr>
          <w:p>
            <w:pPr>
              <w:spacing w:after="0" w:line="240" w:lineRule="auto"/>
              <w:rPr>
                <w:rFonts w:ascii="Times New Roman" w:hAnsi="Times New Roman" w:cs="Times New Roman"/>
                <w:color w:val="auto"/>
                <w:sz w:val="18"/>
                <w:szCs w:val="18"/>
                <w:highlight w:val="none"/>
                <w:lang w:val="en-US"/>
              </w:rPr>
            </w:pPr>
          </w:p>
        </w:tc>
        <w:tc>
          <w:tcPr>
            <w:tcW w:w="473" w:type="dxa"/>
          </w:tcPr>
          <w:p>
            <w:pPr>
              <w:spacing w:after="0" w:line="240" w:lineRule="auto"/>
              <w:rPr>
                <w:rFonts w:ascii="Times New Roman" w:hAnsi="Times New Roman" w:cs="Times New Roman"/>
                <w:color w:val="auto"/>
                <w:sz w:val="18"/>
                <w:szCs w:val="18"/>
                <w:highlight w:val="none"/>
                <w:lang w:val="en-US"/>
              </w:rPr>
            </w:pPr>
          </w:p>
        </w:tc>
        <w:tc>
          <w:tcPr>
            <w:tcW w:w="557" w:type="dxa"/>
          </w:tcPr>
          <w:p>
            <w:pPr>
              <w:spacing w:after="0" w:line="240" w:lineRule="auto"/>
              <w:rPr>
                <w:rFonts w:ascii="Times New Roman" w:hAnsi="Times New Roman" w:cs="Times New Roman"/>
                <w:color w:val="auto"/>
                <w:sz w:val="18"/>
                <w:szCs w:val="18"/>
                <w:highlight w:val="none"/>
                <w:lang w:val="en-US"/>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30.Rehabilitation Of 1no. 6-Unit Classroom Block  by Dec. 2023.</w:t>
            </w:r>
          </w:p>
        </w:tc>
        <w:tc>
          <w:tcPr>
            <w:tcW w:w="121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Amoana Praso Presby</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18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rPr>
              <w:t>323,735.00</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1044" w:type="dxa"/>
          </w:tcPr>
          <w:p>
            <w:pPr>
              <w:spacing w:after="0" w:line="240" w:lineRule="auto"/>
              <w:rPr>
                <w:rFonts w:ascii="Times New Roman" w:hAnsi="Times New Roman" w:cs="Times New Roman"/>
                <w:color w:val="auto"/>
                <w:sz w:val="18"/>
                <w:szCs w:val="18"/>
                <w:highlight w:val="none"/>
                <w:lang w:val="en-US"/>
              </w:rPr>
            </w:pPr>
          </w:p>
        </w:tc>
        <w:tc>
          <w:tcPr>
            <w:tcW w:w="473" w:type="dxa"/>
          </w:tcPr>
          <w:p>
            <w:pPr>
              <w:spacing w:after="0" w:line="240" w:lineRule="auto"/>
              <w:rPr>
                <w:rFonts w:ascii="Times New Roman" w:hAnsi="Times New Roman" w:cs="Times New Roman"/>
                <w:color w:val="auto"/>
                <w:sz w:val="18"/>
                <w:szCs w:val="18"/>
                <w:highlight w:val="none"/>
                <w:lang w:val="en-US"/>
              </w:rPr>
            </w:pPr>
          </w:p>
        </w:tc>
        <w:tc>
          <w:tcPr>
            <w:tcW w:w="557" w:type="dxa"/>
          </w:tcPr>
          <w:p>
            <w:pPr>
              <w:spacing w:after="0" w:line="240" w:lineRule="auto"/>
              <w:rPr>
                <w:rFonts w:ascii="Times New Roman" w:hAnsi="Times New Roman" w:cs="Times New Roman"/>
                <w:color w:val="auto"/>
                <w:sz w:val="18"/>
                <w:szCs w:val="18"/>
                <w:highlight w:val="none"/>
                <w:lang w:val="en-US"/>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31</w:t>
            </w:r>
            <w:r>
              <w:rPr>
                <w:rFonts w:ascii="Times New Roman" w:hAnsi="Times New Roman" w:cs="Times New Roman"/>
                <w:color w:val="auto"/>
                <w:sz w:val="18"/>
                <w:szCs w:val="18"/>
                <w:highlight w:val="none"/>
                <w:lang w:val="en-GB"/>
              </w:rPr>
              <w:t>.Completion of fence wall Phase II. By Dec. 2023</w:t>
            </w:r>
          </w:p>
        </w:tc>
        <w:tc>
          <w:tcPr>
            <w:tcW w:w="121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New Abirem/Afosu</w:t>
            </w:r>
          </w:p>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SHS</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18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355,215.00</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1044" w:type="dxa"/>
          </w:tcPr>
          <w:p>
            <w:pPr>
              <w:spacing w:after="0" w:line="240" w:lineRule="auto"/>
              <w:rPr>
                <w:rFonts w:ascii="Times New Roman" w:hAnsi="Times New Roman" w:cs="Times New Roman"/>
                <w:color w:val="auto"/>
                <w:sz w:val="18"/>
                <w:szCs w:val="18"/>
                <w:highlight w:val="none"/>
                <w:lang w:val="en-US"/>
              </w:rPr>
            </w:pPr>
          </w:p>
        </w:tc>
        <w:tc>
          <w:tcPr>
            <w:tcW w:w="473" w:type="dxa"/>
          </w:tcPr>
          <w:p>
            <w:pPr>
              <w:spacing w:after="0" w:line="240" w:lineRule="auto"/>
              <w:rPr>
                <w:rFonts w:ascii="Times New Roman" w:hAnsi="Times New Roman" w:cs="Times New Roman"/>
                <w:color w:val="auto"/>
                <w:sz w:val="18"/>
                <w:szCs w:val="18"/>
                <w:highlight w:val="none"/>
                <w:lang w:val="en-US"/>
              </w:rPr>
            </w:pPr>
          </w:p>
        </w:tc>
        <w:tc>
          <w:tcPr>
            <w:tcW w:w="557" w:type="dxa"/>
          </w:tcPr>
          <w:p>
            <w:pPr>
              <w:spacing w:after="0" w:line="240" w:lineRule="auto"/>
              <w:rPr>
                <w:rFonts w:ascii="Times New Roman" w:hAnsi="Times New Roman" w:cs="Times New Roman"/>
                <w:color w:val="auto"/>
                <w:sz w:val="18"/>
                <w:szCs w:val="18"/>
                <w:highlight w:val="none"/>
                <w:lang w:val="en-US"/>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32.Construction of 1No. Library with ICT equipment by Dec. 2023.</w:t>
            </w:r>
          </w:p>
          <w:p>
            <w:pPr>
              <w:spacing w:after="0" w:line="240" w:lineRule="auto"/>
              <w:jc w:val="both"/>
              <w:rPr>
                <w:rFonts w:ascii="Times New Roman" w:hAnsi="Times New Roman" w:cs="Times New Roman"/>
                <w:color w:val="auto"/>
                <w:sz w:val="18"/>
                <w:szCs w:val="18"/>
                <w:highlight w:val="none"/>
                <w:lang w:val="en-GB"/>
              </w:rPr>
            </w:pPr>
          </w:p>
        </w:tc>
        <w:tc>
          <w:tcPr>
            <w:tcW w:w="121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Adausena&amp; Hweakwae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185" w:type="dxa"/>
          </w:tcPr>
          <w:p>
            <w:pPr>
              <w:spacing w:after="0" w:line="240" w:lineRule="auto"/>
              <w:rPr>
                <w:rFonts w:ascii="Times New Roman" w:hAnsi="Times New Roman" w:cs="Times New Roman"/>
                <w:color w:val="auto"/>
                <w:sz w:val="18"/>
                <w:szCs w:val="18"/>
                <w:highlight w:val="none"/>
                <w:lang w:val="en-US"/>
              </w:rPr>
            </w:pPr>
          </w:p>
        </w:tc>
        <w:tc>
          <w:tcPr>
            <w:tcW w:w="1116" w:type="dxa"/>
          </w:tcPr>
          <w:p>
            <w:pPr>
              <w:spacing w:after="0" w:line="240" w:lineRule="auto"/>
              <w:rPr>
                <w:rFonts w:ascii="Times New Roman" w:hAnsi="Times New Roman" w:cs="Times New Roman"/>
                <w:color w:val="auto"/>
                <w:sz w:val="18"/>
                <w:szCs w:val="18"/>
                <w:highlight w:val="none"/>
                <w:lang w:val="en-US"/>
              </w:rPr>
            </w:pPr>
          </w:p>
        </w:tc>
        <w:tc>
          <w:tcPr>
            <w:tcW w:w="104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40,000.00</w:t>
            </w:r>
          </w:p>
        </w:tc>
        <w:tc>
          <w:tcPr>
            <w:tcW w:w="473" w:type="dxa"/>
          </w:tcPr>
          <w:p>
            <w:pPr>
              <w:spacing w:after="0" w:line="240" w:lineRule="auto"/>
              <w:rPr>
                <w:rFonts w:ascii="Times New Roman" w:hAnsi="Times New Roman" w:cs="Times New Roman"/>
                <w:color w:val="auto"/>
                <w:sz w:val="18"/>
                <w:szCs w:val="18"/>
                <w:highlight w:val="none"/>
                <w:lang w:val="en-US"/>
              </w:rPr>
            </w:pPr>
          </w:p>
        </w:tc>
        <w:tc>
          <w:tcPr>
            <w:tcW w:w="557" w:type="dxa"/>
          </w:tcPr>
          <w:p>
            <w:pPr>
              <w:spacing w:after="0" w:line="240" w:lineRule="auto"/>
              <w:rPr>
                <w:rFonts w:ascii="Times New Roman" w:hAnsi="Times New Roman" w:cs="Times New Roman"/>
                <w:color w:val="auto"/>
                <w:sz w:val="18"/>
                <w:szCs w:val="18"/>
                <w:highlight w:val="none"/>
                <w:lang w:val="en-US"/>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33.Completion of 1No. 6-Unit classroom block emphasis on women and children by Dec. 2023</w:t>
            </w:r>
          </w:p>
        </w:tc>
        <w:tc>
          <w:tcPr>
            <w:tcW w:w="1213"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Odontuase</w:t>
            </w:r>
          </w:p>
          <w:p>
            <w:pPr>
              <w:rPr>
                <w:rFonts w:ascii="Times New Roman" w:hAnsi="Times New Roman" w:cs="Times New Roman"/>
                <w:color w:val="auto"/>
                <w:sz w:val="18"/>
                <w:szCs w:val="18"/>
                <w:highlight w:val="none"/>
                <w:lang w:val="en-US"/>
              </w:rPr>
            </w:pPr>
          </w:p>
          <w:p>
            <w:pPr>
              <w:rPr>
                <w:rFonts w:ascii="Times New Roman" w:hAnsi="Times New Roman" w:cs="Times New Roman"/>
                <w:color w:val="auto"/>
                <w:sz w:val="18"/>
                <w:szCs w:val="18"/>
                <w:highlight w:val="none"/>
                <w:lang w:val="en-US"/>
              </w:rPr>
            </w:pPr>
          </w:p>
          <w:p>
            <w:pPr>
              <w:rPr>
                <w:rFonts w:ascii="Times New Roman" w:hAnsi="Times New Roman" w:cs="Times New Roman"/>
                <w:color w:val="auto"/>
                <w:sz w:val="18"/>
                <w:szCs w:val="18"/>
                <w:highlight w:val="none"/>
                <w:lang w:val="en-US"/>
              </w:rPr>
            </w:pPr>
          </w:p>
          <w:p>
            <w:pPr>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US"/>
              </w:rPr>
            </w:pPr>
          </w:p>
        </w:tc>
        <w:tc>
          <w:tcPr>
            <w:tcW w:w="118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100,000.00</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1044" w:type="dxa"/>
          </w:tcPr>
          <w:p>
            <w:pPr>
              <w:spacing w:after="0" w:line="240" w:lineRule="auto"/>
              <w:rPr>
                <w:rFonts w:ascii="Times New Roman" w:hAnsi="Times New Roman" w:cs="Times New Roman"/>
                <w:color w:val="auto"/>
                <w:sz w:val="18"/>
                <w:szCs w:val="18"/>
                <w:highlight w:val="none"/>
                <w:lang w:val="en-US"/>
              </w:rPr>
            </w:pPr>
          </w:p>
        </w:tc>
        <w:tc>
          <w:tcPr>
            <w:tcW w:w="473" w:type="dxa"/>
          </w:tcPr>
          <w:p>
            <w:pPr>
              <w:spacing w:after="0" w:line="240" w:lineRule="auto"/>
              <w:rPr>
                <w:rFonts w:ascii="Times New Roman" w:hAnsi="Times New Roman" w:cs="Times New Roman"/>
                <w:color w:val="auto"/>
                <w:sz w:val="18"/>
                <w:szCs w:val="18"/>
                <w:highlight w:val="none"/>
                <w:lang w:val="en-US"/>
              </w:rPr>
            </w:pPr>
          </w:p>
        </w:tc>
        <w:tc>
          <w:tcPr>
            <w:tcW w:w="557" w:type="dxa"/>
          </w:tcPr>
          <w:p>
            <w:pPr>
              <w:spacing w:after="0" w:line="240" w:lineRule="auto"/>
              <w:rPr>
                <w:rFonts w:ascii="Times New Roman" w:hAnsi="Times New Roman" w:cs="Times New Roman"/>
                <w:color w:val="auto"/>
                <w:sz w:val="18"/>
                <w:szCs w:val="18"/>
                <w:highlight w:val="none"/>
                <w:lang w:val="en-US"/>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34.Construction of 2No. 6-Unit classroom block with emphasis on women and children by Dec. 2023.</w:t>
            </w:r>
          </w:p>
        </w:tc>
        <w:tc>
          <w:tcPr>
            <w:tcW w:w="1213"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Afosu R/C, Akoase Experimental</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GB"/>
              </w:rPr>
            </w:pPr>
          </w:p>
        </w:tc>
        <w:tc>
          <w:tcPr>
            <w:tcW w:w="118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150,000.00</w:t>
            </w:r>
          </w:p>
        </w:tc>
        <w:tc>
          <w:tcPr>
            <w:tcW w:w="11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400,000.00</w:t>
            </w:r>
          </w:p>
        </w:tc>
        <w:tc>
          <w:tcPr>
            <w:tcW w:w="1044" w:type="dxa"/>
          </w:tcPr>
          <w:p>
            <w:pPr>
              <w:spacing w:after="0" w:line="240" w:lineRule="auto"/>
              <w:rPr>
                <w:rFonts w:ascii="Times New Roman" w:hAnsi="Times New Roman" w:cs="Times New Roman"/>
                <w:color w:val="auto"/>
                <w:sz w:val="18"/>
                <w:szCs w:val="18"/>
                <w:highlight w:val="none"/>
                <w:lang w:val="en-GB"/>
              </w:rPr>
            </w:pPr>
          </w:p>
        </w:tc>
        <w:tc>
          <w:tcPr>
            <w:tcW w:w="473" w:type="dxa"/>
          </w:tcPr>
          <w:p>
            <w:pPr>
              <w:spacing w:after="0" w:line="240" w:lineRule="auto"/>
              <w:rPr>
                <w:rFonts w:ascii="Times New Roman" w:hAnsi="Times New Roman" w:cs="Times New Roman"/>
                <w:color w:val="auto"/>
                <w:sz w:val="18"/>
                <w:szCs w:val="18"/>
                <w:highlight w:val="none"/>
                <w:lang w:val="en-GB"/>
              </w:rPr>
            </w:pPr>
          </w:p>
        </w:tc>
        <w:tc>
          <w:tcPr>
            <w:tcW w:w="557" w:type="dxa"/>
          </w:tcPr>
          <w:p>
            <w:pPr>
              <w:spacing w:after="0" w:line="240" w:lineRule="auto"/>
              <w:rPr>
                <w:rFonts w:ascii="Times New Roman" w:hAnsi="Times New Roman" w:cs="Times New Roman"/>
                <w:color w:val="auto"/>
                <w:sz w:val="18"/>
                <w:szCs w:val="18"/>
                <w:highlight w:val="none"/>
                <w:lang w:val="en-GB"/>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24" w:type="dxa"/>
          </w:tcPr>
          <w:p>
            <w:pPr>
              <w:spacing w:after="0" w:line="240" w:lineRule="auto"/>
              <w:rPr>
                <w:rFonts w:ascii="Times New Roman" w:hAnsi="Times New Roman" w:cs="Times New Roman"/>
                <w:color w:val="auto"/>
                <w:sz w:val="18"/>
                <w:szCs w:val="18"/>
                <w:highlight w:val="none"/>
                <w:lang w:val="en-GB"/>
              </w:rPr>
            </w:pP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35.Construction of 1No. 2-Unit classroom block, </w:t>
            </w:r>
            <w:r>
              <w:rPr>
                <w:rFonts w:ascii="Times New Roman" w:hAnsi="Times New Roman" w:cs="Times New Roman"/>
                <w:color w:val="auto"/>
                <w:sz w:val="18"/>
                <w:szCs w:val="18"/>
                <w:highlight w:val="none"/>
                <w:lang w:val="en-US"/>
              </w:rPr>
              <w:t xml:space="preserve">office, store, W/C, sanded play area, paved walk way, fenced, gated, poly tank  stand with 5000 capacity litres </w:t>
            </w:r>
            <w:r>
              <w:rPr>
                <w:rFonts w:ascii="Times New Roman" w:hAnsi="Times New Roman" w:cs="Times New Roman"/>
                <w:color w:val="auto"/>
                <w:sz w:val="18"/>
                <w:szCs w:val="18"/>
                <w:highlight w:val="none"/>
                <w:lang w:val="en-GB"/>
              </w:rPr>
              <w:t>emphasis on women and children by Dec. 2023</w:t>
            </w:r>
          </w:p>
        </w:tc>
        <w:tc>
          <w:tcPr>
            <w:tcW w:w="1213"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Afosu R/C </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GB"/>
              </w:rPr>
            </w:pPr>
          </w:p>
        </w:tc>
        <w:tc>
          <w:tcPr>
            <w:tcW w:w="1185" w:type="dxa"/>
          </w:tcPr>
          <w:p>
            <w:pPr>
              <w:spacing w:after="0" w:line="240" w:lineRule="auto"/>
              <w:rPr>
                <w:rFonts w:ascii="Times New Roman" w:hAnsi="Times New Roman" w:cs="Times New Roman"/>
                <w:color w:val="auto"/>
                <w:sz w:val="18"/>
                <w:szCs w:val="18"/>
                <w:highlight w:val="none"/>
                <w:lang w:val="en-GB"/>
              </w:rPr>
            </w:pPr>
          </w:p>
        </w:tc>
        <w:tc>
          <w:tcPr>
            <w:tcW w:w="1116" w:type="dxa"/>
          </w:tcPr>
          <w:p>
            <w:pPr>
              <w:spacing w:after="0" w:line="240" w:lineRule="auto"/>
              <w:rPr>
                <w:rFonts w:ascii="Times New Roman" w:hAnsi="Times New Roman" w:cs="Times New Roman"/>
                <w:color w:val="auto"/>
                <w:sz w:val="18"/>
                <w:szCs w:val="18"/>
                <w:highlight w:val="none"/>
                <w:lang w:val="en-GB"/>
              </w:rPr>
            </w:pPr>
          </w:p>
        </w:tc>
        <w:tc>
          <w:tcPr>
            <w:tcW w:w="104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251,179.95</w:t>
            </w:r>
          </w:p>
        </w:tc>
        <w:tc>
          <w:tcPr>
            <w:tcW w:w="473" w:type="dxa"/>
          </w:tcPr>
          <w:p>
            <w:pPr>
              <w:spacing w:after="0" w:line="240" w:lineRule="auto"/>
              <w:rPr>
                <w:rFonts w:ascii="Times New Roman" w:hAnsi="Times New Roman" w:cs="Times New Roman"/>
                <w:color w:val="auto"/>
                <w:sz w:val="18"/>
                <w:szCs w:val="18"/>
                <w:highlight w:val="none"/>
                <w:lang w:val="en-GB"/>
              </w:rPr>
            </w:pPr>
          </w:p>
        </w:tc>
        <w:tc>
          <w:tcPr>
            <w:tcW w:w="557" w:type="dxa"/>
          </w:tcPr>
          <w:p>
            <w:pPr>
              <w:spacing w:after="0" w:line="240" w:lineRule="auto"/>
              <w:rPr>
                <w:rFonts w:ascii="Times New Roman" w:hAnsi="Times New Roman" w:cs="Times New Roman"/>
                <w:color w:val="auto"/>
                <w:sz w:val="18"/>
                <w:szCs w:val="18"/>
                <w:highlight w:val="none"/>
                <w:lang w:val="en-GB"/>
              </w:rPr>
            </w:pPr>
          </w:p>
        </w:tc>
        <w:tc>
          <w:tcPr>
            <w:tcW w:w="57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24" w:type="dxa"/>
          </w:tcPr>
          <w:p>
            <w:pPr>
              <w:spacing w:after="0" w:line="240" w:lineRule="auto"/>
              <w:rPr>
                <w:rFonts w:ascii="Times New Roman" w:hAnsi="Times New Roman" w:cs="Times New Roman"/>
                <w:color w:val="auto"/>
                <w:sz w:val="18"/>
                <w:szCs w:val="18"/>
                <w:highlight w:val="none"/>
                <w:lang w:val="en-GB"/>
              </w:rPr>
            </w:pP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36.Construction of teachers quarters with emphasis on women by Dec. 2023. </w:t>
            </w:r>
          </w:p>
        </w:tc>
        <w:tc>
          <w:tcPr>
            <w:tcW w:w="1213"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Kuntenase, Asawase, Oworomra, </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GB"/>
              </w:rPr>
            </w:pPr>
          </w:p>
        </w:tc>
        <w:tc>
          <w:tcPr>
            <w:tcW w:w="118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200,000.00</w:t>
            </w:r>
          </w:p>
        </w:tc>
        <w:tc>
          <w:tcPr>
            <w:tcW w:w="1116" w:type="dxa"/>
          </w:tcPr>
          <w:p>
            <w:pPr>
              <w:spacing w:after="0" w:line="240" w:lineRule="auto"/>
              <w:rPr>
                <w:rFonts w:ascii="Times New Roman" w:hAnsi="Times New Roman" w:cs="Times New Roman"/>
                <w:color w:val="auto"/>
                <w:sz w:val="18"/>
                <w:szCs w:val="18"/>
                <w:highlight w:val="none"/>
                <w:lang w:val="en-GB"/>
              </w:rPr>
            </w:pPr>
          </w:p>
        </w:tc>
        <w:tc>
          <w:tcPr>
            <w:tcW w:w="1044" w:type="dxa"/>
          </w:tcPr>
          <w:p>
            <w:pPr>
              <w:spacing w:after="0" w:line="240" w:lineRule="auto"/>
              <w:rPr>
                <w:rFonts w:ascii="Times New Roman" w:hAnsi="Times New Roman" w:cs="Times New Roman"/>
                <w:color w:val="auto"/>
                <w:sz w:val="18"/>
                <w:szCs w:val="18"/>
                <w:highlight w:val="none"/>
                <w:lang w:val="en-GB"/>
              </w:rPr>
            </w:pPr>
          </w:p>
        </w:tc>
        <w:tc>
          <w:tcPr>
            <w:tcW w:w="473" w:type="dxa"/>
          </w:tcPr>
          <w:p>
            <w:pPr>
              <w:spacing w:after="0" w:line="240" w:lineRule="auto"/>
              <w:rPr>
                <w:rFonts w:ascii="Times New Roman" w:hAnsi="Times New Roman" w:cs="Times New Roman"/>
                <w:color w:val="auto"/>
                <w:sz w:val="18"/>
                <w:szCs w:val="18"/>
                <w:highlight w:val="none"/>
                <w:lang w:val="en-GB"/>
              </w:rPr>
            </w:pPr>
          </w:p>
        </w:tc>
        <w:tc>
          <w:tcPr>
            <w:tcW w:w="557" w:type="dxa"/>
          </w:tcPr>
          <w:p>
            <w:pPr>
              <w:spacing w:after="0" w:line="240" w:lineRule="auto"/>
              <w:rPr>
                <w:rFonts w:ascii="Times New Roman" w:hAnsi="Times New Roman" w:cs="Times New Roman"/>
                <w:color w:val="auto"/>
                <w:sz w:val="18"/>
                <w:szCs w:val="18"/>
                <w:highlight w:val="none"/>
                <w:lang w:val="en-GB"/>
              </w:rPr>
            </w:pPr>
          </w:p>
        </w:tc>
        <w:tc>
          <w:tcPr>
            <w:tcW w:w="578"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w:t>
            </w:r>
          </w:p>
        </w:tc>
        <w:tc>
          <w:tcPr>
            <w:tcW w:w="724" w:type="dxa"/>
          </w:tcPr>
          <w:p>
            <w:pPr>
              <w:spacing w:after="0" w:line="240" w:lineRule="auto"/>
              <w:rPr>
                <w:rFonts w:ascii="Times New Roman" w:hAnsi="Times New Roman" w:cs="Times New Roman"/>
                <w:color w:val="auto"/>
                <w:sz w:val="18"/>
                <w:szCs w:val="18"/>
                <w:highlight w:val="none"/>
                <w:lang w:val="en-GB"/>
              </w:rPr>
            </w:pP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37.Renovation of 1No. 3-Unit classroom block  with emphasis on women and children by Dec. 2023.</w:t>
            </w:r>
          </w:p>
        </w:tc>
        <w:tc>
          <w:tcPr>
            <w:tcW w:w="1213"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 Nkwateng D/A</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GB"/>
              </w:rPr>
            </w:pPr>
          </w:p>
        </w:tc>
        <w:tc>
          <w:tcPr>
            <w:tcW w:w="118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124,059.20</w:t>
            </w:r>
          </w:p>
        </w:tc>
        <w:tc>
          <w:tcPr>
            <w:tcW w:w="1116" w:type="dxa"/>
          </w:tcPr>
          <w:p>
            <w:pPr>
              <w:spacing w:after="0" w:line="240" w:lineRule="auto"/>
              <w:rPr>
                <w:rFonts w:ascii="Times New Roman" w:hAnsi="Times New Roman" w:cs="Times New Roman"/>
                <w:color w:val="auto"/>
                <w:sz w:val="18"/>
                <w:szCs w:val="18"/>
                <w:highlight w:val="none"/>
                <w:lang w:val="en-GB"/>
              </w:rPr>
            </w:pPr>
          </w:p>
        </w:tc>
        <w:tc>
          <w:tcPr>
            <w:tcW w:w="1044" w:type="dxa"/>
          </w:tcPr>
          <w:p>
            <w:pPr>
              <w:spacing w:after="0" w:line="240" w:lineRule="auto"/>
              <w:rPr>
                <w:rFonts w:ascii="Times New Roman" w:hAnsi="Times New Roman" w:cs="Times New Roman"/>
                <w:color w:val="auto"/>
                <w:sz w:val="18"/>
                <w:szCs w:val="18"/>
                <w:highlight w:val="none"/>
                <w:lang w:val="en-GB"/>
              </w:rPr>
            </w:pPr>
          </w:p>
        </w:tc>
        <w:tc>
          <w:tcPr>
            <w:tcW w:w="473" w:type="dxa"/>
          </w:tcPr>
          <w:p>
            <w:pPr>
              <w:spacing w:after="0" w:line="240" w:lineRule="auto"/>
              <w:rPr>
                <w:rFonts w:ascii="Times New Roman" w:hAnsi="Times New Roman" w:cs="Times New Roman"/>
                <w:color w:val="auto"/>
                <w:sz w:val="18"/>
                <w:szCs w:val="18"/>
                <w:highlight w:val="none"/>
                <w:lang w:val="en-GB"/>
              </w:rPr>
            </w:pPr>
          </w:p>
        </w:tc>
        <w:tc>
          <w:tcPr>
            <w:tcW w:w="557" w:type="dxa"/>
          </w:tcPr>
          <w:p>
            <w:pPr>
              <w:spacing w:after="0" w:line="240" w:lineRule="auto"/>
              <w:rPr>
                <w:rFonts w:ascii="Times New Roman" w:hAnsi="Times New Roman" w:cs="Times New Roman"/>
                <w:color w:val="auto"/>
                <w:sz w:val="18"/>
                <w:szCs w:val="18"/>
                <w:highlight w:val="none"/>
                <w:lang w:val="en-GB"/>
              </w:rPr>
            </w:pPr>
          </w:p>
        </w:tc>
        <w:tc>
          <w:tcPr>
            <w:tcW w:w="578"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w:t>
            </w:r>
          </w:p>
        </w:tc>
        <w:tc>
          <w:tcPr>
            <w:tcW w:w="724" w:type="dxa"/>
          </w:tcPr>
          <w:p>
            <w:pPr>
              <w:spacing w:after="0" w:line="240" w:lineRule="auto"/>
              <w:rPr>
                <w:rFonts w:ascii="Times New Roman" w:hAnsi="Times New Roman" w:cs="Times New Roman"/>
                <w:color w:val="auto"/>
                <w:sz w:val="18"/>
                <w:szCs w:val="18"/>
                <w:highlight w:val="none"/>
                <w:lang w:val="en-GB"/>
              </w:rPr>
            </w:pP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38.Renovation of 2No. 6-Unit classroom block with emphasis on women and children by Dec. 2023</w:t>
            </w:r>
          </w:p>
        </w:tc>
        <w:tc>
          <w:tcPr>
            <w:tcW w:w="1213" w:type="dxa"/>
          </w:tcPr>
          <w:p>
            <w:pPr>
              <w:spacing w:after="0" w:line="240" w:lineRule="auto"/>
              <w:jc w:val="both"/>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rPr>
              <w:t>Akrofonso, Nkwateng SDA</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rPr>
            </w:pPr>
          </w:p>
        </w:tc>
        <w:tc>
          <w:tcPr>
            <w:tcW w:w="1185"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rPr>
              <w:t>200,000.00</w:t>
            </w:r>
          </w:p>
        </w:tc>
        <w:tc>
          <w:tcPr>
            <w:tcW w:w="1116" w:type="dxa"/>
          </w:tcPr>
          <w:p>
            <w:pPr>
              <w:spacing w:after="0" w:line="240" w:lineRule="auto"/>
              <w:rPr>
                <w:rFonts w:ascii="Times New Roman" w:hAnsi="Times New Roman" w:cs="Times New Roman"/>
                <w:color w:val="auto"/>
                <w:sz w:val="18"/>
                <w:szCs w:val="18"/>
                <w:highlight w:val="none"/>
              </w:rPr>
            </w:pPr>
          </w:p>
        </w:tc>
        <w:tc>
          <w:tcPr>
            <w:tcW w:w="1044" w:type="dxa"/>
          </w:tcPr>
          <w:p>
            <w:pPr>
              <w:spacing w:after="0" w:line="240" w:lineRule="auto"/>
              <w:rPr>
                <w:rFonts w:ascii="Times New Roman" w:hAnsi="Times New Roman" w:cs="Times New Roman"/>
                <w:color w:val="auto"/>
                <w:sz w:val="18"/>
                <w:szCs w:val="18"/>
                <w:highlight w:val="none"/>
              </w:rPr>
            </w:pPr>
          </w:p>
        </w:tc>
        <w:tc>
          <w:tcPr>
            <w:tcW w:w="473" w:type="dxa"/>
          </w:tcPr>
          <w:p>
            <w:pPr>
              <w:spacing w:after="0" w:line="240" w:lineRule="auto"/>
              <w:rPr>
                <w:rFonts w:ascii="Times New Roman" w:hAnsi="Times New Roman" w:cs="Times New Roman"/>
                <w:color w:val="auto"/>
                <w:sz w:val="18"/>
                <w:szCs w:val="18"/>
                <w:highlight w:val="none"/>
              </w:rPr>
            </w:pPr>
          </w:p>
        </w:tc>
        <w:tc>
          <w:tcPr>
            <w:tcW w:w="557" w:type="dxa"/>
          </w:tcPr>
          <w:p>
            <w:pPr>
              <w:spacing w:after="0" w:line="240" w:lineRule="auto"/>
              <w:rPr>
                <w:rFonts w:ascii="Times New Roman" w:hAnsi="Times New Roman" w:cs="Times New Roman"/>
                <w:color w:val="auto"/>
                <w:sz w:val="18"/>
                <w:szCs w:val="18"/>
                <w:highlight w:val="none"/>
              </w:rPr>
            </w:pPr>
          </w:p>
        </w:tc>
        <w:tc>
          <w:tcPr>
            <w:tcW w:w="578" w:type="dxa"/>
            <w:gridSpan w:val="2"/>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724" w:type="dxa"/>
          </w:tcPr>
          <w:p>
            <w:pPr>
              <w:spacing w:after="0" w:line="240" w:lineRule="auto"/>
              <w:rPr>
                <w:rFonts w:ascii="Times New Roman" w:hAnsi="Times New Roman" w:cs="Times New Roman"/>
                <w:color w:val="auto"/>
                <w:sz w:val="18"/>
                <w:szCs w:val="18"/>
                <w:highlight w:val="none"/>
              </w:rPr>
            </w:pP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39.Renovation of 1No. 2-Unit classroom block with emphasis on women children by Dec. 2023.</w:t>
            </w:r>
          </w:p>
        </w:tc>
        <w:tc>
          <w:tcPr>
            <w:tcW w:w="1213"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Amenam D/A</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Improved educational infrastructure</w:t>
            </w:r>
          </w:p>
        </w:tc>
        <w:tc>
          <w:tcPr>
            <w:tcW w:w="720" w:type="dxa"/>
          </w:tcPr>
          <w:p>
            <w:pPr>
              <w:spacing w:after="0" w:line="240" w:lineRule="auto"/>
              <w:rPr>
                <w:rFonts w:ascii="Times New Roman" w:hAnsi="Times New Roman" w:cs="Times New Roman"/>
                <w:color w:val="auto"/>
                <w:sz w:val="18"/>
                <w:szCs w:val="18"/>
                <w:highlight w:val="none"/>
                <w:lang w:val="en-GB"/>
              </w:rPr>
            </w:pPr>
          </w:p>
        </w:tc>
        <w:tc>
          <w:tcPr>
            <w:tcW w:w="118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100,000.00</w:t>
            </w:r>
          </w:p>
        </w:tc>
        <w:tc>
          <w:tcPr>
            <w:tcW w:w="1116" w:type="dxa"/>
          </w:tcPr>
          <w:p>
            <w:pPr>
              <w:spacing w:after="0" w:line="240" w:lineRule="auto"/>
              <w:rPr>
                <w:rFonts w:ascii="Times New Roman" w:hAnsi="Times New Roman" w:cs="Times New Roman"/>
                <w:color w:val="auto"/>
                <w:sz w:val="18"/>
                <w:szCs w:val="18"/>
                <w:highlight w:val="none"/>
                <w:lang w:val="en-GB"/>
              </w:rPr>
            </w:pPr>
          </w:p>
        </w:tc>
        <w:tc>
          <w:tcPr>
            <w:tcW w:w="1044" w:type="dxa"/>
          </w:tcPr>
          <w:p>
            <w:pPr>
              <w:spacing w:after="0" w:line="240" w:lineRule="auto"/>
              <w:rPr>
                <w:rFonts w:ascii="Times New Roman" w:hAnsi="Times New Roman" w:cs="Times New Roman"/>
                <w:color w:val="auto"/>
                <w:sz w:val="18"/>
                <w:szCs w:val="18"/>
                <w:highlight w:val="none"/>
                <w:lang w:val="en-GB"/>
              </w:rPr>
            </w:pPr>
          </w:p>
        </w:tc>
        <w:tc>
          <w:tcPr>
            <w:tcW w:w="473" w:type="dxa"/>
          </w:tcPr>
          <w:p>
            <w:pPr>
              <w:spacing w:after="0" w:line="240" w:lineRule="auto"/>
              <w:rPr>
                <w:rFonts w:ascii="Times New Roman" w:hAnsi="Times New Roman" w:cs="Times New Roman"/>
                <w:color w:val="auto"/>
                <w:sz w:val="18"/>
                <w:szCs w:val="18"/>
                <w:highlight w:val="none"/>
                <w:lang w:val="en-GB"/>
              </w:rPr>
            </w:pPr>
          </w:p>
        </w:tc>
        <w:tc>
          <w:tcPr>
            <w:tcW w:w="557" w:type="dxa"/>
          </w:tcPr>
          <w:p>
            <w:pPr>
              <w:spacing w:after="0" w:line="240" w:lineRule="auto"/>
              <w:rPr>
                <w:rFonts w:ascii="Times New Roman" w:hAnsi="Times New Roman" w:cs="Times New Roman"/>
                <w:color w:val="auto"/>
                <w:sz w:val="18"/>
                <w:szCs w:val="18"/>
                <w:highlight w:val="none"/>
                <w:lang w:val="en-GB"/>
              </w:rPr>
            </w:pPr>
          </w:p>
        </w:tc>
        <w:tc>
          <w:tcPr>
            <w:tcW w:w="578"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w:t>
            </w:r>
          </w:p>
        </w:tc>
        <w:tc>
          <w:tcPr>
            <w:tcW w:w="724" w:type="dxa"/>
          </w:tcPr>
          <w:p>
            <w:pPr>
              <w:spacing w:after="0" w:line="240" w:lineRule="auto"/>
              <w:rPr>
                <w:rFonts w:ascii="Times New Roman" w:hAnsi="Times New Roman" w:cs="Times New Roman"/>
                <w:color w:val="auto"/>
                <w:sz w:val="18"/>
                <w:szCs w:val="18"/>
                <w:highlight w:val="none"/>
                <w:lang w:val="en-GB"/>
              </w:rPr>
            </w:pP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40.Organisation of My First Day at school by Dec. 2023</w:t>
            </w:r>
          </w:p>
        </w:tc>
        <w:tc>
          <w:tcPr>
            <w:tcW w:w="1213"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My first day at school organized</w:t>
            </w:r>
          </w:p>
        </w:tc>
        <w:tc>
          <w:tcPr>
            <w:tcW w:w="720" w:type="dxa"/>
          </w:tcPr>
          <w:p>
            <w:pPr>
              <w:spacing w:after="0" w:line="240" w:lineRule="auto"/>
              <w:rPr>
                <w:rFonts w:ascii="Times New Roman" w:hAnsi="Times New Roman" w:cs="Times New Roman"/>
                <w:color w:val="auto"/>
                <w:sz w:val="18"/>
                <w:szCs w:val="18"/>
                <w:highlight w:val="none"/>
                <w:lang w:val="en-GB"/>
              </w:rPr>
            </w:pPr>
          </w:p>
        </w:tc>
        <w:tc>
          <w:tcPr>
            <w:tcW w:w="1185" w:type="dxa"/>
          </w:tcPr>
          <w:p>
            <w:pPr>
              <w:spacing w:after="0" w:line="240" w:lineRule="auto"/>
              <w:rPr>
                <w:rFonts w:ascii="Times New Roman" w:hAnsi="Times New Roman" w:cs="Times New Roman"/>
                <w:color w:val="auto"/>
                <w:sz w:val="18"/>
                <w:szCs w:val="18"/>
                <w:highlight w:val="none"/>
                <w:lang w:val="en-GB"/>
              </w:rPr>
            </w:pPr>
          </w:p>
        </w:tc>
        <w:tc>
          <w:tcPr>
            <w:tcW w:w="11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10,000.00</w:t>
            </w:r>
          </w:p>
        </w:tc>
        <w:tc>
          <w:tcPr>
            <w:tcW w:w="104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20,000.00</w:t>
            </w:r>
          </w:p>
        </w:tc>
        <w:tc>
          <w:tcPr>
            <w:tcW w:w="473" w:type="dxa"/>
          </w:tcPr>
          <w:p>
            <w:pPr>
              <w:spacing w:after="0" w:line="240" w:lineRule="auto"/>
              <w:rPr>
                <w:rFonts w:ascii="Times New Roman" w:hAnsi="Times New Roman" w:cs="Times New Roman"/>
                <w:color w:val="auto"/>
                <w:sz w:val="18"/>
                <w:szCs w:val="18"/>
                <w:highlight w:val="none"/>
                <w:lang w:val="en-GB"/>
              </w:rPr>
            </w:pPr>
          </w:p>
        </w:tc>
        <w:tc>
          <w:tcPr>
            <w:tcW w:w="557" w:type="dxa"/>
          </w:tcPr>
          <w:p>
            <w:pPr>
              <w:spacing w:after="0" w:line="240" w:lineRule="auto"/>
              <w:rPr>
                <w:rFonts w:ascii="Times New Roman" w:hAnsi="Times New Roman" w:cs="Times New Roman"/>
                <w:color w:val="auto"/>
                <w:sz w:val="18"/>
                <w:szCs w:val="18"/>
                <w:highlight w:val="none"/>
                <w:lang w:val="en-GB"/>
              </w:rPr>
            </w:pPr>
          </w:p>
        </w:tc>
        <w:tc>
          <w:tcPr>
            <w:tcW w:w="578" w:type="dxa"/>
            <w:gridSpan w:val="2"/>
          </w:tcPr>
          <w:p>
            <w:pPr>
              <w:spacing w:after="0" w:line="240" w:lineRule="auto"/>
              <w:rPr>
                <w:rFonts w:ascii="Times New Roman" w:hAnsi="Times New Roman" w:cs="Times New Roman"/>
                <w:color w:val="auto"/>
                <w:sz w:val="18"/>
                <w:szCs w:val="18"/>
                <w:highlight w:val="none"/>
                <w:lang w:val="en-GB"/>
              </w:rPr>
            </w:pP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340"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0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048"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41</w:t>
            </w:r>
            <w:r>
              <w:rPr>
                <w:rFonts w:ascii="Times New Roman" w:hAnsi="Times New Roman" w:cs="Times New Roman"/>
                <w:color w:val="auto"/>
                <w:sz w:val="18"/>
                <w:szCs w:val="18"/>
                <w:highlight w:val="none"/>
                <w:lang w:val="en-GB"/>
              </w:rPr>
              <w:t>.Provide scholarship, Bursaries &amp; Financial Assistance to Students by Dec. 2023.</w:t>
            </w:r>
          </w:p>
        </w:tc>
        <w:tc>
          <w:tcPr>
            <w:tcW w:w="1213"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Needy but brilliant students supported</w:t>
            </w:r>
          </w:p>
        </w:tc>
        <w:tc>
          <w:tcPr>
            <w:tcW w:w="720" w:type="dxa"/>
          </w:tcPr>
          <w:p>
            <w:pPr>
              <w:spacing w:after="0" w:line="240" w:lineRule="auto"/>
              <w:rPr>
                <w:rFonts w:ascii="Times New Roman" w:hAnsi="Times New Roman" w:cs="Times New Roman"/>
                <w:color w:val="auto"/>
                <w:sz w:val="18"/>
                <w:szCs w:val="18"/>
                <w:highlight w:val="none"/>
                <w:lang w:val="en-GB"/>
              </w:rPr>
            </w:pPr>
          </w:p>
        </w:tc>
        <w:tc>
          <w:tcPr>
            <w:tcW w:w="118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10,000.00</w:t>
            </w:r>
          </w:p>
        </w:tc>
        <w:tc>
          <w:tcPr>
            <w:tcW w:w="11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20,000.00</w:t>
            </w:r>
          </w:p>
        </w:tc>
        <w:tc>
          <w:tcPr>
            <w:tcW w:w="1044"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80,000.00</w:t>
            </w:r>
          </w:p>
        </w:tc>
        <w:tc>
          <w:tcPr>
            <w:tcW w:w="473" w:type="dxa"/>
          </w:tcPr>
          <w:p>
            <w:pPr>
              <w:spacing w:after="0" w:line="240" w:lineRule="auto"/>
              <w:rPr>
                <w:rFonts w:ascii="Times New Roman" w:hAnsi="Times New Roman" w:cs="Times New Roman"/>
                <w:color w:val="auto"/>
                <w:sz w:val="18"/>
                <w:szCs w:val="18"/>
                <w:highlight w:val="none"/>
                <w:lang w:val="en-GB"/>
              </w:rPr>
            </w:pPr>
          </w:p>
        </w:tc>
        <w:tc>
          <w:tcPr>
            <w:tcW w:w="557" w:type="dxa"/>
          </w:tcPr>
          <w:p>
            <w:pPr>
              <w:spacing w:after="0" w:line="240" w:lineRule="auto"/>
              <w:rPr>
                <w:rFonts w:ascii="Times New Roman" w:hAnsi="Times New Roman" w:cs="Times New Roman"/>
                <w:color w:val="auto"/>
                <w:sz w:val="18"/>
                <w:szCs w:val="18"/>
                <w:highlight w:val="none"/>
                <w:lang w:val="en-GB"/>
              </w:rPr>
            </w:pPr>
          </w:p>
        </w:tc>
        <w:tc>
          <w:tcPr>
            <w:tcW w:w="578" w:type="dxa"/>
            <w:gridSpan w:val="2"/>
          </w:tcPr>
          <w:p>
            <w:pPr>
              <w:spacing w:after="0" w:line="240" w:lineRule="auto"/>
              <w:rPr>
                <w:rFonts w:ascii="Times New Roman" w:hAnsi="Times New Roman" w:cs="Times New Roman"/>
                <w:color w:val="auto"/>
                <w:sz w:val="18"/>
                <w:szCs w:val="18"/>
                <w:highlight w:val="none"/>
                <w:lang w:val="en-GB"/>
              </w:rPr>
            </w:pP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73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169"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445"/>
        <w:gridCol w:w="1180"/>
        <w:gridCol w:w="1251"/>
        <w:gridCol w:w="999"/>
        <w:gridCol w:w="448"/>
        <w:gridCol w:w="448"/>
        <w:gridCol w:w="448"/>
        <w:gridCol w:w="448"/>
        <w:gridCol w:w="1346"/>
        <w:gridCol w:w="652"/>
        <w:gridCol w:w="1052"/>
        <w:gridCol w:w="1052"/>
        <w:gridCol w:w="776"/>
        <w:gridCol w:w="456"/>
        <w:gridCol w:w="758"/>
        <w:gridCol w:w="570"/>
        <w:gridCol w:w="574"/>
        <w:gridCol w:w="636"/>
        <w:gridCol w:w="883"/>
        <w:gridCol w:w="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727" w:type="dxa"/>
          </w:tcPr>
          <w:p>
            <w:pPr>
              <w:spacing w:after="0" w:line="240" w:lineRule="auto"/>
              <w:rPr>
                <w:rFonts w:ascii="Times New Roman" w:hAnsi="Times New Roman" w:cs="Times New Roman"/>
                <w:b/>
                <w:color w:val="auto"/>
                <w:sz w:val="18"/>
                <w:szCs w:val="18"/>
                <w:highlight w:val="none"/>
                <w:lang w:val="en-GB"/>
              </w:rPr>
            </w:pPr>
          </w:p>
        </w:tc>
        <w:tc>
          <w:tcPr>
            <w:tcW w:w="14442" w:type="dxa"/>
            <w:gridSpan w:val="20"/>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Create equitable, healthy and discipline society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235" w:hRule="atLeast"/>
        </w:trPr>
        <w:tc>
          <w:tcPr>
            <w:tcW w:w="1172"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180"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25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999"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92"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34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Outcome</w:t>
            </w:r>
          </w:p>
        </w:tc>
        <w:tc>
          <w:tcPr>
            <w:tcW w:w="4746"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44"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519"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Implementing institution /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393" w:hRule="atLeast"/>
        </w:trPr>
        <w:tc>
          <w:tcPr>
            <w:tcW w:w="1172"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180" w:type="dxa"/>
            <w:vMerge w:val="continue"/>
          </w:tcPr>
          <w:p>
            <w:pPr>
              <w:spacing w:after="0" w:line="240" w:lineRule="auto"/>
              <w:rPr>
                <w:rFonts w:ascii="Times New Roman" w:hAnsi="Times New Roman" w:cs="Times New Roman"/>
                <w:b/>
                <w:color w:val="auto"/>
                <w:sz w:val="18"/>
                <w:szCs w:val="18"/>
                <w:highlight w:val="none"/>
                <w:lang w:val="en-GB"/>
              </w:rPr>
            </w:pPr>
          </w:p>
        </w:tc>
        <w:tc>
          <w:tcPr>
            <w:tcW w:w="1251" w:type="dxa"/>
            <w:vMerge w:val="continue"/>
          </w:tcPr>
          <w:p>
            <w:pPr>
              <w:spacing w:after="0" w:line="240" w:lineRule="auto"/>
              <w:rPr>
                <w:rFonts w:ascii="Times New Roman" w:hAnsi="Times New Roman" w:cs="Times New Roman"/>
                <w:b/>
                <w:color w:val="auto"/>
                <w:sz w:val="18"/>
                <w:szCs w:val="18"/>
                <w:highlight w:val="none"/>
                <w:lang w:val="en-GB"/>
              </w:rPr>
            </w:pPr>
          </w:p>
        </w:tc>
        <w:tc>
          <w:tcPr>
            <w:tcW w:w="999" w:type="dxa"/>
            <w:vMerge w:val="continue"/>
          </w:tcPr>
          <w:p>
            <w:pPr>
              <w:spacing w:after="0" w:line="240" w:lineRule="auto"/>
              <w:rPr>
                <w:rFonts w:ascii="Times New Roman" w:hAnsi="Times New Roman" w:cs="Times New Roman"/>
                <w:b/>
                <w:color w:val="auto"/>
                <w:sz w:val="18"/>
                <w:szCs w:val="18"/>
                <w:highlight w:val="none"/>
                <w:lang w:val="en-GB"/>
              </w:rPr>
            </w:pP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346" w:type="dxa"/>
            <w:vMerge w:val="continue"/>
          </w:tcPr>
          <w:p>
            <w:pPr>
              <w:spacing w:after="0" w:line="240" w:lineRule="auto"/>
              <w:rPr>
                <w:rFonts w:ascii="Times New Roman" w:hAnsi="Times New Roman" w:cs="Times New Roman"/>
                <w:b/>
                <w:color w:val="auto"/>
                <w:sz w:val="18"/>
                <w:szCs w:val="18"/>
                <w:highlight w:val="none"/>
                <w:lang w:val="en-GB"/>
              </w:rPr>
            </w:pPr>
          </w:p>
        </w:tc>
        <w:tc>
          <w:tcPr>
            <w:tcW w:w="65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05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105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75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Others</w:t>
            </w:r>
          </w:p>
        </w:tc>
        <w:tc>
          <w:tcPr>
            <w:tcW w:w="57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57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Ong</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oing </w:t>
            </w:r>
          </w:p>
        </w:tc>
        <w:tc>
          <w:tcPr>
            <w:tcW w:w="63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883"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393" w:hRule="atLeast"/>
        </w:trPr>
        <w:tc>
          <w:tcPr>
            <w:tcW w:w="1172"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80"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251"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42. Organize STEM Clinics from School Level to Regional Level by Dec. 2023</w:t>
            </w:r>
          </w:p>
        </w:tc>
        <w:tc>
          <w:tcPr>
            <w:tcW w:w="999"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4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STEM Clinics organized </w:t>
            </w:r>
          </w:p>
        </w:tc>
        <w:tc>
          <w:tcPr>
            <w:tcW w:w="652" w:type="dxa"/>
          </w:tcPr>
          <w:p>
            <w:pPr>
              <w:spacing w:after="0" w:line="240" w:lineRule="auto"/>
              <w:rPr>
                <w:rFonts w:ascii="Times New Roman" w:hAnsi="Times New Roman" w:cs="Times New Roman"/>
                <w:color w:val="auto"/>
                <w:sz w:val="18"/>
                <w:szCs w:val="18"/>
                <w:highlight w:val="none"/>
                <w:lang w:val="en-GB"/>
              </w:rPr>
            </w:pPr>
          </w:p>
        </w:tc>
        <w:tc>
          <w:tcPr>
            <w:tcW w:w="1052" w:type="dxa"/>
          </w:tcPr>
          <w:p>
            <w:pPr>
              <w:spacing w:after="0" w:line="240" w:lineRule="auto"/>
              <w:rPr>
                <w:rFonts w:ascii="Times New Roman" w:hAnsi="Times New Roman" w:cs="Times New Roman"/>
                <w:color w:val="auto"/>
                <w:sz w:val="18"/>
                <w:szCs w:val="18"/>
                <w:highlight w:val="none"/>
                <w:lang w:val="en-GB"/>
              </w:rPr>
            </w:pPr>
          </w:p>
        </w:tc>
        <w:tc>
          <w:tcPr>
            <w:tcW w:w="1052"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10,200.00</w:t>
            </w: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758" w:type="dxa"/>
          </w:tcPr>
          <w:p>
            <w:pPr>
              <w:spacing w:after="0" w:line="240" w:lineRule="auto"/>
              <w:rPr>
                <w:rFonts w:ascii="Times New Roman" w:hAnsi="Times New Roman" w:cs="Times New Roman"/>
                <w:color w:val="auto"/>
                <w:sz w:val="18"/>
                <w:szCs w:val="18"/>
                <w:highlight w:val="none"/>
                <w:lang w:val="en-GB"/>
              </w:rPr>
            </w:pPr>
          </w:p>
        </w:tc>
        <w:tc>
          <w:tcPr>
            <w:tcW w:w="570" w:type="dxa"/>
          </w:tcPr>
          <w:p>
            <w:pPr>
              <w:spacing w:after="0" w:line="240" w:lineRule="auto"/>
              <w:rPr>
                <w:rFonts w:ascii="Times New Roman" w:hAnsi="Times New Roman" w:cs="Times New Roman"/>
                <w:color w:val="auto"/>
                <w:sz w:val="18"/>
                <w:szCs w:val="18"/>
                <w:highlight w:val="none"/>
                <w:lang w:val="en-GB"/>
              </w:rPr>
            </w:pPr>
          </w:p>
        </w:tc>
        <w:tc>
          <w:tcPr>
            <w:tcW w:w="57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213" w:hRule="atLeast"/>
        </w:trPr>
        <w:tc>
          <w:tcPr>
            <w:tcW w:w="1172"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80"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251"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43.Organize School, Zonal, District, Sub-Zonal and Regional Cultural Festivals</w:t>
            </w:r>
          </w:p>
        </w:tc>
        <w:tc>
          <w:tcPr>
            <w:tcW w:w="999"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4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School, Zonal, District, Sub-Zonal and Regional Cultural Festivals organized</w:t>
            </w:r>
          </w:p>
        </w:tc>
        <w:tc>
          <w:tcPr>
            <w:tcW w:w="652" w:type="dxa"/>
          </w:tcPr>
          <w:p>
            <w:pPr>
              <w:spacing w:after="0" w:line="240" w:lineRule="auto"/>
              <w:rPr>
                <w:rFonts w:ascii="Times New Roman" w:hAnsi="Times New Roman" w:cs="Times New Roman"/>
                <w:color w:val="auto"/>
                <w:sz w:val="18"/>
                <w:szCs w:val="18"/>
                <w:highlight w:val="none"/>
                <w:lang w:val="en-GB"/>
              </w:rPr>
            </w:pPr>
          </w:p>
        </w:tc>
        <w:tc>
          <w:tcPr>
            <w:tcW w:w="1052"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13,000.00</w:t>
            </w:r>
          </w:p>
        </w:tc>
        <w:tc>
          <w:tcPr>
            <w:tcW w:w="1052" w:type="dxa"/>
          </w:tcPr>
          <w:p>
            <w:pPr>
              <w:spacing w:after="0" w:line="240" w:lineRule="auto"/>
              <w:rPr>
                <w:rFonts w:ascii="Times New Roman" w:hAnsi="Times New Roman" w:cs="Times New Roman"/>
                <w:color w:val="auto"/>
                <w:sz w:val="18"/>
                <w:szCs w:val="18"/>
                <w:highlight w:val="none"/>
                <w:lang w:val="en-GB"/>
              </w:rPr>
            </w:pP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758" w:type="dxa"/>
          </w:tcPr>
          <w:p>
            <w:pPr>
              <w:spacing w:after="0" w:line="240" w:lineRule="auto"/>
              <w:rPr>
                <w:rFonts w:ascii="Times New Roman" w:hAnsi="Times New Roman" w:cs="Times New Roman"/>
                <w:color w:val="auto"/>
                <w:sz w:val="18"/>
                <w:szCs w:val="18"/>
                <w:highlight w:val="none"/>
                <w:lang w:val="en-GB"/>
              </w:rPr>
            </w:pPr>
          </w:p>
        </w:tc>
        <w:tc>
          <w:tcPr>
            <w:tcW w:w="570" w:type="dxa"/>
          </w:tcPr>
          <w:p>
            <w:pPr>
              <w:spacing w:after="0" w:line="240" w:lineRule="auto"/>
              <w:rPr>
                <w:rFonts w:ascii="Times New Roman" w:hAnsi="Times New Roman" w:cs="Times New Roman"/>
                <w:color w:val="auto"/>
                <w:sz w:val="18"/>
                <w:szCs w:val="18"/>
                <w:highlight w:val="none"/>
                <w:lang w:val="en-GB"/>
              </w:rPr>
            </w:pPr>
          </w:p>
        </w:tc>
        <w:tc>
          <w:tcPr>
            <w:tcW w:w="57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213" w:hRule="atLeast"/>
        </w:trPr>
        <w:tc>
          <w:tcPr>
            <w:tcW w:w="1172"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80"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Education, youth and sports and library services</w:t>
            </w:r>
          </w:p>
        </w:tc>
        <w:tc>
          <w:tcPr>
            <w:tcW w:w="1251"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44.Organize SPAM and performance review Meetings by the end of July 2023.</w:t>
            </w:r>
          </w:p>
        </w:tc>
        <w:tc>
          <w:tcPr>
            <w:tcW w:w="999"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4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US"/>
              </w:rPr>
              <w:t>SPAM and performance review Meetings organized.</w:t>
            </w:r>
          </w:p>
        </w:tc>
        <w:tc>
          <w:tcPr>
            <w:tcW w:w="652" w:type="dxa"/>
          </w:tcPr>
          <w:p>
            <w:pPr>
              <w:spacing w:after="0" w:line="240" w:lineRule="auto"/>
              <w:rPr>
                <w:rFonts w:ascii="Times New Roman" w:hAnsi="Times New Roman" w:cs="Times New Roman"/>
                <w:color w:val="auto"/>
                <w:sz w:val="18"/>
                <w:szCs w:val="18"/>
                <w:highlight w:val="none"/>
                <w:lang w:val="en-GB"/>
              </w:rPr>
            </w:pPr>
          </w:p>
        </w:tc>
        <w:tc>
          <w:tcPr>
            <w:tcW w:w="1052" w:type="dxa"/>
          </w:tcPr>
          <w:p>
            <w:pPr>
              <w:spacing w:after="0" w:line="240" w:lineRule="auto"/>
              <w:rPr>
                <w:rFonts w:ascii="Times New Roman" w:hAnsi="Times New Roman" w:cs="Times New Roman"/>
                <w:color w:val="auto"/>
                <w:sz w:val="18"/>
                <w:szCs w:val="18"/>
                <w:highlight w:val="none"/>
                <w:lang w:val="en-GB"/>
              </w:rPr>
            </w:pPr>
          </w:p>
        </w:tc>
        <w:tc>
          <w:tcPr>
            <w:tcW w:w="1052"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14,300.00</w:t>
            </w:r>
          </w:p>
        </w:tc>
        <w:tc>
          <w:tcPr>
            <w:tcW w:w="776" w:type="dxa"/>
          </w:tcPr>
          <w:p>
            <w:pPr>
              <w:spacing w:after="0" w:line="240" w:lineRule="auto"/>
              <w:rPr>
                <w:rFonts w:ascii="Times New Roman" w:hAnsi="Times New Roman" w:cs="Times New Roman"/>
                <w:color w:val="auto"/>
                <w:sz w:val="18"/>
                <w:szCs w:val="18"/>
                <w:highlight w:val="none"/>
                <w:lang w:val="en-GB"/>
              </w:rPr>
            </w:pPr>
          </w:p>
        </w:tc>
        <w:tc>
          <w:tcPr>
            <w:tcW w:w="456" w:type="dxa"/>
          </w:tcPr>
          <w:p>
            <w:pPr>
              <w:spacing w:after="0" w:line="240" w:lineRule="auto"/>
              <w:rPr>
                <w:rFonts w:ascii="Times New Roman" w:hAnsi="Times New Roman" w:cs="Times New Roman"/>
                <w:color w:val="auto"/>
                <w:sz w:val="18"/>
                <w:szCs w:val="18"/>
                <w:highlight w:val="none"/>
                <w:lang w:val="en-GB"/>
              </w:rPr>
            </w:pPr>
          </w:p>
        </w:tc>
        <w:tc>
          <w:tcPr>
            <w:tcW w:w="758" w:type="dxa"/>
          </w:tcPr>
          <w:p>
            <w:pPr>
              <w:spacing w:after="0" w:line="240" w:lineRule="auto"/>
              <w:rPr>
                <w:rFonts w:ascii="Times New Roman" w:hAnsi="Times New Roman" w:cs="Times New Roman"/>
                <w:color w:val="auto"/>
                <w:sz w:val="18"/>
                <w:szCs w:val="18"/>
                <w:highlight w:val="none"/>
                <w:lang w:val="en-GB"/>
              </w:rPr>
            </w:pPr>
          </w:p>
        </w:tc>
        <w:tc>
          <w:tcPr>
            <w:tcW w:w="570" w:type="dxa"/>
          </w:tcPr>
          <w:p>
            <w:pPr>
              <w:spacing w:after="0" w:line="240" w:lineRule="auto"/>
              <w:rPr>
                <w:rFonts w:ascii="Times New Roman" w:hAnsi="Times New Roman" w:cs="Times New Roman"/>
                <w:color w:val="auto"/>
                <w:sz w:val="18"/>
                <w:szCs w:val="18"/>
                <w:highlight w:val="none"/>
                <w:lang w:val="en-GB"/>
              </w:rPr>
            </w:pPr>
          </w:p>
        </w:tc>
        <w:tc>
          <w:tcPr>
            <w:tcW w:w="57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DED</w:t>
            </w:r>
          </w:p>
        </w:tc>
        <w:tc>
          <w:tcPr>
            <w:tcW w:w="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 xml:space="preserve"> Annual Action Plan (AAP) – 2023</w:t>
      </w:r>
    </w:p>
    <w:tbl>
      <w:tblPr>
        <w:tblStyle w:val="50"/>
        <w:tblW w:w="1526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530"/>
        <w:gridCol w:w="1136"/>
        <w:gridCol w:w="1431"/>
        <w:gridCol w:w="1431"/>
        <w:gridCol w:w="447"/>
        <w:gridCol w:w="447"/>
        <w:gridCol w:w="447"/>
        <w:gridCol w:w="447"/>
        <w:gridCol w:w="1306"/>
        <w:gridCol w:w="587"/>
        <w:gridCol w:w="1026"/>
        <w:gridCol w:w="1026"/>
        <w:gridCol w:w="776"/>
        <w:gridCol w:w="456"/>
        <w:gridCol w:w="517"/>
        <w:gridCol w:w="556"/>
        <w:gridCol w:w="637"/>
        <w:gridCol w:w="716"/>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606" w:type="dxa"/>
          </w:tcPr>
          <w:p>
            <w:pPr>
              <w:spacing w:after="0" w:line="240" w:lineRule="auto"/>
              <w:rPr>
                <w:rFonts w:ascii="Times New Roman" w:hAnsi="Times New Roman" w:cs="Times New Roman"/>
                <w:b/>
                <w:color w:val="auto"/>
                <w:sz w:val="18"/>
                <w:szCs w:val="18"/>
                <w:highlight w:val="none"/>
                <w:lang w:val="en-GB"/>
              </w:rPr>
            </w:pPr>
          </w:p>
        </w:tc>
        <w:tc>
          <w:tcPr>
            <w:tcW w:w="14663" w:type="dxa"/>
            <w:gridSpan w:val="19"/>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Create equitable, healthy and discipline society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136"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13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533"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1235"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88"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30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Outcome</w:t>
            </w:r>
          </w:p>
        </w:tc>
        <w:tc>
          <w:tcPr>
            <w:tcW w:w="4388"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93"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539"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Implementing institution /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136"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136" w:type="dxa"/>
            <w:vMerge w:val="continue"/>
          </w:tcPr>
          <w:p>
            <w:pPr>
              <w:spacing w:after="0" w:line="240" w:lineRule="auto"/>
              <w:rPr>
                <w:rFonts w:ascii="Times New Roman" w:hAnsi="Times New Roman" w:cs="Times New Roman"/>
                <w:b/>
                <w:color w:val="auto"/>
                <w:sz w:val="18"/>
                <w:szCs w:val="18"/>
                <w:highlight w:val="none"/>
                <w:lang w:val="en-GB"/>
              </w:rPr>
            </w:pPr>
          </w:p>
        </w:tc>
        <w:tc>
          <w:tcPr>
            <w:tcW w:w="1533" w:type="dxa"/>
            <w:vMerge w:val="continue"/>
          </w:tcPr>
          <w:p>
            <w:pPr>
              <w:spacing w:after="0" w:line="240" w:lineRule="auto"/>
              <w:rPr>
                <w:rFonts w:ascii="Times New Roman" w:hAnsi="Times New Roman" w:cs="Times New Roman"/>
                <w:b/>
                <w:color w:val="auto"/>
                <w:sz w:val="18"/>
                <w:szCs w:val="18"/>
                <w:highlight w:val="none"/>
                <w:lang w:val="en-GB"/>
              </w:rPr>
            </w:pPr>
          </w:p>
        </w:tc>
        <w:tc>
          <w:tcPr>
            <w:tcW w:w="1235" w:type="dxa"/>
            <w:vMerge w:val="continue"/>
          </w:tcPr>
          <w:p>
            <w:pPr>
              <w:spacing w:after="0" w:line="240" w:lineRule="auto"/>
              <w:rPr>
                <w:rFonts w:ascii="Times New Roman" w:hAnsi="Times New Roman" w:cs="Times New Roman"/>
                <w:b/>
                <w:color w:val="auto"/>
                <w:sz w:val="18"/>
                <w:szCs w:val="18"/>
                <w:highlight w:val="none"/>
                <w:lang w:val="en-GB"/>
              </w:rPr>
            </w:pP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306" w:type="dxa"/>
            <w:vMerge w:val="continue"/>
          </w:tcPr>
          <w:p>
            <w:pPr>
              <w:spacing w:after="0" w:line="240" w:lineRule="auto"/>
              <w:rPr>
                <w:rFonts w:ascii="Times New Roman" w:hAnsi="Times New Roman" w:cs="Times New Roman"/>
                <w:b/>
                <w:color w:val="auto"/>
                <w:sz w:val="18"/>
                <w:szCs w:val="18"/>
                <w:highlight w:val="none"/>
                <w:lang w:val="en-GB"/>
              </w:rPr>
            </w:pPr>
          </w:p>
        </w:tc>
        <w:tc>
          <w:tcPr>
            <w:tcW w:w="58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02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102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1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63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going </w:t>
            </w:r>
          </w:p>
        </w:tc>
        <w:tc>
          <w:tcPr>
            <w:tcW w:w="71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823"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45.Construct nurses quarters by the end of December 2023.</w:t>
            </w:r>
          </w:p>
        </w:tc>
        <w:tc>
          <w:tcPr>
            <w:tcW w:w="123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Ntronang, </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Abodom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health service deliver</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500,000.00</w:t>
            </w: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 xml:space="preserve">46.Complete Health centre with  </w:t>
            </w:r>
            <w:r>
              <w:rPr>
                <w:rFonts w:ascii="Times New Roman" w:hAnsi="Times New Roman" w:cs="Times New Roman"/>
                <w:color w:val="auto"/>
                <w:sz w:val="18"/>
                <w:szCs w:val="18"/>
                <w:highlight w:val="none"/>
                <w:lang w:val="en-GB"/>
              </w:rPr>
              <w:t>emphasis on women by the end of the third quarter 2023.</w:t>
            </w:r>
          </w:p>
        </w:tc>
        <w:tc>
          <w:tcPr>
            <w:tcW w:w="123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Akoase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health service deliver</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108,838.10</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 xml:space="preserve">47.Complete Health centre with </w:t>
            </w:r>
            <w:r>
              <w:rPr>
                <w:rFonts w:ascii="Times New Roman" w:hAnsi="Times New Roman" w:cs="Times New Roman"/>
                <w:color w:val="auto"/>
                <w:sz w:val="18"/>
                <w:szCs w:val="18"/>
                <w:highlight w:val="none"/>
                <w:lang w:val="en-GB"/>
              </w:rPr>
              <w:t>emphasis on women</w:t>
            </w:r>
            <w:r>
              <w:rPr>
                <w:rFonts w:ascii="Times New Roman" w:hAnsi="Times New Roman" w:cs="Times New Roman"/>
                <w:bCs/>
                <w:color w:val="auto"/>
                <w:sz w:val="18"/>
                <w:szCs w:val="18"/>
                <w:highlight w:val="none"/>
                <w:lang w:val="en-US"/>
              </w:rPr>
              <w:t xml:space="preserve">  by the end of the third quarter 2023.</w:t>
            </w:r>
          </w:p>
        </w:tc>
        <w:tc>
          <w:tcPr>
            <w:tcW w:w="123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Pankese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health service deliver</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70,232.58</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color w:val="auto"/>
                <w:sz w:val="18"/>
                <w:szCs w:val="18"/>
                <w:highlight w:val="none"/>
                <w:lang w:val="en-GB"/>
              </w:rPr>
            </w:pPr>
            <w:r>
              <w:rPr>
                <w:rFonts w:ascii="Times New Roman" w:hAnsi="Times New Roman" w:cs="Times New Roman"/>
                <w:bCs/>
                <w:color w:val="auto"/>
                <w:sz w:val="18"/>
                <w:szCs w:val="18"/>
                <w:highlight w:val="none"/>
                <w:lang w:val="en-US"/>
              </w:rPr>
              <w:t xml:space="preserve">48. Construct 3No. CHPS Compound and Staff Quarters with  </w:t>
            </w:r>
            <w:r>
              <w:rPr>
                <w:rFonts w:ascii="Times New Roman" w:hAnsi="Times New Roman" w:cs="Times New Roman"/>
                <w:color w:val="auto"/>
                <w:sz w:val="18"/>
                <w:szCs w:val="18"/>
                <w:highlight w:val="none"/>
                <w:lang w:val="en-GB"/>
              </w:rPr>
              <w:t>emphasis on women, vulnerable groups by the end of Dec. 2023.</w:t>
            </w:r>
          </w:p>
        </w:tc>
        <w:tc>
          <w:tcPr>
            <w:tcW w:w="123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Mpintimpi Nwinso, </w:t>
            </w:r>
          </w:p>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Odontuase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health service deliver</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500,000.00</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49.Construct bungalow (</w:t>
            </w:r>
            <w:r>
              <w:rPr>
                <w:rFonts w:ascii="Times New Roman" w:hAnsi="Times New Roman" w:cs="Times New Roman"/>
                <w:color w:val="auto"/>
                <w:sz w:val="18"/>
                <w:szCs w:val="18"/>
                <w:highlight w:val="none"/>
                <w:lang w:val="en-GB"/>
              </w:rPr>
              <w:t>Nurses quarters) by the end of Dec. 2023.</w:t>
            </w:r>
          </w:p>
        </w:tc>
        <w:tc>
          <w:tcPr>
            <w:tcW w:w="1235" w:type="dxa"/>
          </w:tcPr>
          <w:p>
            <w:pPr>
              <w:spacing w:after="0" w:line="240" w:lineRule="auto"/>
              <w:jc w:val="both"/>
              <w:rPr>
                <w:rFonts w:ascii="Times New Roman" w:hAnsi="Times New Roman" w:cs="Times New Roman"/>
                <w:color w:val="auto"/>
                <w:sz w:val="18"/>
                <w:szCs w:val="18"/>
                <w:highlight w:val="none"/>
                <w:lang w:val="en-US"/>
              </w:rPr>
            </w:pPr>
          </w:p>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Akoase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health service deliver</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193,750.00</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50.Construct bungalow (Nurses quarters) by Dec. 2023</w:t>
            </w:r>
          </w:p>
        </w:tc>
        <w:tc>
          <w:tcPr>
            <w:tcW w:w="123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Pankese,</w:t>
            </w:r>
          </w:p>
          <w:p>
            <w:pPr>
              <w:spacing w:after="0" w:line="240" w:lineRule="auto"/>
              <w:jc w:val="both"/>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health service deliver</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193,750.00</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51.Construct 5 No. placenta pit by Dec. 2023.</w:t>
            </w:r>
          </w:p>
        </w:tc>
        <w:tc>
          <w:tcPr>
            <w:tcW w:w="123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Nwinso, Noyem, Old Abirem, Akoase, Nyafoman and Pankese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health service deliver</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84,000.00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52.Complete fence wall phase I by the end of Dec. 2023.</w:t>
            </w:r>
          </w:p>
        </w:tc>
        <w:tc>
          <w:tcPr>
            <w:tcW w:w="1235"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New Abirem Government Hospital</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Improvement in health infrastructure</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22,547.68</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 xml:space="preserve">53. Complete 3No. 12 Seater WC Toilet  with </w:t>
            </w:r>
            <w:r>
              <w:rPr>
                <w:rFonts w:ascii="Times New Roman" w:hAnsi="Times New Roman" w:cs="Times New Roman"/>
                <w:color w:val="auto"/>
                <w:sz w:val="18"/>
                <w:szCs w:val="18"/>
                <w:highlight w:val="none"/>
                <w:lang w:val="en-GB"/>
              </w:rPr>
              <w:t>emphasis on women and children.</w:t>
            </w:r>
          </w:p>
        </w:tc>
        <w:tc>
          <w:tcPr>
            <w:tcW w:w="123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 Ntronang, Oworomera &amp; Adadekrom</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sanitation in the District</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219,600.00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54. Construct 1No. 16-Seater W/C Toilet And 4 Bathrooms by the end of Dec. 2023.</w:t>
            </w:r>
          </w:p>
        </w:tc>
        <w:tc>
          <w:tcPr>
            <w:tcW w:w="123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bCs/>
                <w:color w:val="auto"/>
                <w:sz w:val="18"/>
                <w:szCs w:val="18"/>
                <w:highlight w:val="none"/>
                <w:lang w:val="en-US"/>
              </w:rPr>
              <w:t>New Abirem</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sanitation in the District</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rPr>
              <w:t>418,315.17</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4"/>
              <w:spacing w:before="0" w:beforeAutospacing="0" w:after="0" w:afterAutospacing="0"/>
              <w:textAlignment w:val="center"/>
              <w:rPr>
                <w:color w:val="auto"/>
                <w:sz w:val="18"/>
                <w:szCs w:val="18"/>
                <w:highlight w:val="none"/>
              </w:rPr>
            </w:pPr>
            <w:r>
              <w:rPr>
                <w:color w:val="auto"/>
                <w:sz w:val="18"/>
                <w:szCs w:val="18"/>
                <w:highlight w:val="none"/>
              </w:rPr>
              <w:t>55.Drill 15No boreholes fitted with hand pumps</w:t>
            </w:r>
          </w:p>
        </w:tc>
        <w:tc>
          <w:tcPr>
            <w:tcW w:w="1235"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color w:val="auto"/>
                <w:sz w:val="18"/>
                <w:szCs w:val="18"/>
                <w:highlight w:val="none"/>
                <w:lang w:val="en-US"/>
              </w:rPr>
              <w:t>Abenase, Asawase and Nkwateng etc</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access to portable water for domestic usage</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270,000.00</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823" w:type="dxa"/>
          </w:tcPr>
          <w:p>
            <w:pPr>
              <w:spacing w:after="0" w:line="240" w:lineRule="auto"/>
              <w:rPr>
                <w:rFonts w:ascii="Times New Roman" w:hAnsi="Times New Roman" w:cs="Times New Roman"/>
                <w:color w:val="auto"/>
                <w:sz w:val="18"/>
                <w:szCs w:val="18"/>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44"/>
              <w:spacing w:before="0" w:beforeAutospacing="0" w:after="0" w:afterAutospacing="0"/>
              <w:textAlignment w:val="center"/>
              <w:rPr>
                <w:color w:val="auto"/>
                <w:sz w:val="18"/>
                <w:szCs w:val="18"/>
                <w:highlight w:val="none"/>
              </w:rPr>
            </w:pPr>
            <w:r>
              <w:rPr>
                <w:color w:val="auto"/>
                <w:sz w:val="18"/>
                <w:szCs w:val="18"/>
                <w:highlight w:val="none"/>
              </w:rPr>
              <w:t>56.Drill, repairs, mechanize and develop 15No boreholes at Bramkrom, Dodoworaso, Domebra, Kofi-Yeboa, Kyereahahantan, Mangoase, Mpintimpi, etc.</w:t>
            </w:r>
          </w:p>
        </w:tc>
        <w:tc>
          <w:tcPr>
            <w:tcW w:w="1235"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color w:val="auto"/>
                <w:sz w:val="18"/>
                <w:szCs w:val="18"/>
                <w:highlight w:val="none"/>
                <w:lang w:val="en-US"/>
              </w:rPr>
              <w:t>at Bramkrom, Dodoworaso, Domebra, Kofi-Yeboa, Kyereahahantan, Mangoase, Mpintimpi, etc.</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access to portable water for domestic usage</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377,029.07</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p>
        </w:tc>
        <w:tc>
          <w:tcPr>
            <w:tcW w:w="823" w:type="dxa"/>
          </w:tcPr>
          <w:p>
            <w:pPr>
              <w:spacing w:after="0" w:line="240" w:lineRule="auto"/>
              <w:rPr>
                <w:rFonts w:ascii="Times New Roman" w:hAnsi="Times New Roman" w:cs="Times New Roman"/>
                <w:color w:val="auto"/>
                <w:sz w:val="18"/>
                <w:szCs w:val="18"/>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57.Improve upon Expanded Programme on Immunization (EPI) services through outreach and supportive supervision</w:t>
            </w:r>
          </w:p>
        </w:tc>
        <w:tc>
          <w:tcPr>
            <w:tcW w:w="123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bCs/>
                <w:color w:val="auto"/>
                <w:sz w:val="18"/>
                <w:szCs w:val="18"/>
                <w:highlight w:val="none"/>
                <w:lang w:val="en-US"/>
              </w:rPr>
              <w:t>Improved Expanded Programme on Immunization (EPI) services</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4,500.00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 xml:space="preserve">58.Create awareness on communicable and non-communicable diseases, FP, mental health etc by Dec. 2023 </w:t>
            </w:r>
          </w:p>
        </w:tc>
        <w:tc>
          <w:tcPr>
            <w:tcW w:w="123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Reduced cases of communicable and non-communicable diseases and metal helath</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59. Strengthen school health programmes, screening of non-communicable diseases by the end of Dec. 2023.</w:t>
            </w:r>
          </w:p>
        </w:tc>
        <w:tc>
          <w:tcPr>
            <w:tcW w:w="123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School health programmes strengthened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60.Provide basic equipment: BP apparatus, HB meters and autoclave by Dec. 2023.</w:t>
            </w:r>
          </w:p>
        </w:tc>
        <w:tc>
          <w:tcPr>
            <w:tcW w:w="1235"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Noyem, Nwinso, Nyafoman, Akoase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Enhanced health service delivery through the provision of  </w:t>
            </w:r>
            <w:r>
              <w:rPr>
                <w:rFonts w:ascii="Times New Roman" w:hAnsi="Times New Roman" w:cs="Times New Roman"/>
                <w:bCs/>
                <w:color w:val="auto"/>
                <w:sz w:val="18"/>
                <w:szCs w:val="18"/>
                <w:highlight w:val="none"/>
                <w:lang w:val="en-US"/>
              </w:rPr>
              <w:t>basic equipment: BP apparatus, HB meters and autoclave</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21,000.00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tcPr>
          <w:p>
            <w:pPr>
              <w:spacing w:after="0" w:line="240" w:lineRule="auto"/>
              <w:rPr>
                <w:rFonts w:ascii="Times New Roman" w:hAnsi="Times New Roman" w:cs="Times New Roman"/>
                <w:color w:val="auto"/>
                <w:sz w:val="18"/>
                <w:szCs w:val="18"/>
                <w:highlight w:val="none"/>
                <w:lang w:val="en-US"/>
              </w:rPr>
            </w:pP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61.Undertake Mass Drug Administration against Schistosomiasis, Intestinal worms and Yaws by Dec. 2023.</w:t>
            </w:r>
          </w:p>
        </w:tc>
        <w:tc>
          <w:tcPr>
            <w:tcW w:w="123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Mass drug Administration organized.</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8,000.00</w:t>
            </w: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1136"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3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53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62. Support Integrated Disease surveillance and response to epidemic prone diseases and other diseases of public health importance by Dec.2023.</w:t>
            </w:r>
          </w:p>
        </w:tc>
        <w:tc>
          <w:tcPr>
            <w:tcW w:w="123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0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bCs/>
                <w:color w:val="auto"/>
                <w:sz w:val="18"/>
                <w:szCs w:val="18"/>
                <w:highlight w:val="none"/>
                <w:lang w:val="en-US"/>
              </w:rPr>
              <w:t xml:space="preserve">Support Integrated Disease surveillance and response to epidemic prone diseases and other diseases supported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w:t>
            </w:r>
          </w:p>
        </w:tc>
        <w:tc>
          <w:tcPr>
            <w:tcW w:w="102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DHD</w:t>
            </w:r>
          </w:p>
        </w:tc>
        <w:tc>
          <w:tcPr>
            <w:tcW w:w="82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 xml:space="preserve"> Annual Action Plan (AAP) – 2023</w:t>
      </w:r>
    </w:p>
    <w:tbl>
      <w:tblPr>
        <w:tblStyle w:val="50"/>
        <w:tblW w:w="15210"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520"/>
        <w:gridCol w:w="1176"/>
        <w:gridCol w:w="1353"/>
        <w:gridCol w:w="902"/>
        <w:gridCol w:w="448"/>
        <w:gridCol w:w="448"/>
        <w:gridCol w:w="448"/>
        <w:gridCol w:w="448"/>
        <w:gridCol w:w="1286"/>
        <w:gridCol w:w="602"/>
        <w:gridCol w:w="1062"/>
        <w:gridCol w:w="1062"/>
        <w:gridCol w:w="776"/>
        <w:gridCol w:w="456"/>
        <w:gridCol w:w="538"/>
        <w:gridCol w:w="560"/>
        <w:gridCol w:w="637"/>
        <w:gridCol w:w="738"/>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625" w:type="dxa"/>
          </w:tcPr>
          <w:p>
            <w:pPr>
              <w:spacing w:after="0" w:line="240" w:lineRule="auto"/>
              <w:rPr>
                <w:rFonts w:ascii="Times New Roman" w:hAnsi="Times New Roman" w:cs="Times New Roman"/>
                <w:b/>
                <w:color w:val="auto"/>
                <w:sz w:val="18"/>
                <w:szCs w:val="18"/>
                <w:highlight w:val="none"/>
                <w:lang w:val="en-GB"/>
              </w:rPr>
            </w:pPr>
          </w:p>
        </w:tc>
        <w:tc>
          <w:tcPr>
            <w:tcW w:w="14585" w:type="dxa"/>
            <w:gridSpan w:val="19"/>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Create equitable, healthy and discipline society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145"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17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353"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902"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92"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28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Output</w:t>
            </w:r>
          </w:p>
        </w:tc>
        <w:tc>
          <w:tcPr>
            <w:tcW w:w="4496"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97"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863"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Implementing institution /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145"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176" w:type="dxa"/>
            <w:vMerge w:val="continue"/>
          </w:tcPr>
          <w:p>
            <w:pPr>
              <w:spacing w:after="0" w:line="240" w:lineRule="auto"/>
              <w:rPr>
                <w:rFonts w:ascii="Times New Roman" w:hAnsi="Times New Roman" w:cs="Times New Roman"/>
                <w:b/>
                <w:color w:val="auto"/>
                <w:sz w:val="18"/>
                <w:szCs w:val="18"/>
                <w:highlight w:val="none"/>
                <w:lang w:val="en-GB"/>
              </w:rPr>
            </w:pPr>
          </w:p>
        </w:tc>
        <w:tc>
          <w:tcPr>
            <w:tcW w:w="1353" w:type="dxa"/>
            <w:vMerge w:val="continue"/>
          </w:tcPr>
          <w:p>
            <w:pPr>
              <w:spacing w:after="0" w:line="240" w:lineRule="auto"/>
              <w:rPr>
                <w:rFonts w:ascii="Times New Roman" w:hAnsi="Times New Roman" w:cs="Times New Roman"/>
                <w:b/>
                <w:color w:val="auto"/>
                <w:sz w:val="18"/>
                <w:szCs w:val="18"/>
                <w:highlight w:val="none"/>
                <w:lang w:val="en-GB"/>
              </w:rPr>
            </w:pPr>
          </w:p>
        </w:tc>
        <w:tc>
          <w:tcPr>
            <w:tcW w:w="902" w:type="dxa"/>
            <w:vMerge w:val="continue"/>
          </w:tcPr>
          <w:p>
            <w:pPr>
              <w:spacing w:after="0" w:line="240" w:lineRule="auto"/>
              <w:rPr>
                <w:rFonts w:ascii="Times New Roman" w:hAnsi="Times New Roman" w:cs="Times New Roman"/>
                <w:b/>
                <w:color w:val="auto"/>
                <w:sz w:val="18"/>
                <w:szCs w:val="18"/>
                <w:highlight w:val="none"/>
                <w:lang w:val="en-GB"/>
              </w:rPr>
            </w:pP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286" w:type="dxa"/>
            <w:vMerge w:val="continue"/>
          </w:tcPr>
          <w:p>
            <w:pPr>
              <w:spacing w:after="0" w:line="240" w:lineRule="auto"/>
              <w:rPr>
                <w:rFonts w:ascii="Times New Roman" w:hAnsi="Times New Roman" w:cs="Times New Roman"/>
                <w:b/>
                <w:color w:val="auto"/>
                <w:sz w:val="18"/>
                <w:szCs w:val="18"/>
                <w:highlight w:val="none"/>
                <w:lang w:val="en-GB"/>
              </w:rPr>
            </w:pPr>
          </w:p>
        </w:tc>
        <w:tc>
          <w:tcPr>
            <w:tcW w:w="60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06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106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3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6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63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going </w:t>
            </w:r>
          </w:p>
        </w:tc>
        <w:tc>
          <w:tcPr>
            <w:tcW w:w="73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1125"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63.Purchase of sanitary tools by the end of Dec. 2023.</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District wide </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Environmental Health Services.</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20,000.00</w:t>
            </w: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45,118.71</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64.Support Sanitation Improvement Package and Manage sanitation in the district  by the end of Dec. 2023</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sanitation in the District.</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130,000.00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Zoomlion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65.Clear and maintain refuse dump  by the end of Dec. 2023.</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District wide </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Sanitation in the District.</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20,000.00</w:t>
            </w: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12,740.00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Zoomlion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66.Conduct routine inspection  by the end of Dec. 2023.</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Routine inspection conducted.</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67.Support Covid-19 related activities by the end of Dec. 2023.</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Covid-19 activities supported </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106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p>
        </w:tc>
        <w:tc>
          <w:tcPr>
            <w:tcW w:w="738" w:type="dxa"/>
          </w:tcPr>
          <w:p>
            <w:pPr>
              <w:spacing w:after="0" w:line="240" w:lineRule="auto"/>
              <w:rPr>
                <w:rFonts w:ascii="Times New Roman" w:hAnsi="Times New Roman" w:cs="Times New Roman"/>
                <w:color w:val="auto"/>
                <w:sz w:val="18"/>
                <w:szCs w:val="18"/>
                <w:highlight w:val="none"/>
                <w:lang w:val="en-GB"/>
              </w:rPr>
            </w:pPr>
          </w:p>
        </w:tc>
        <w:tc>
          <w:tcPr>
            <w:tcW w:w="1125" w:type="dxa"/>
          </w:tcPr>
          <w:p>
            <w:pPr>
              <w:spacing w:after="0" w:line="240" w:lineRule="auto"/>
              <w:rPr>
                <w:rFonts w:ascii="Times New Roman" w:hAnsi="Times New Roman" w:cs="Times New Roman"/>
                <w:color w:val="auto"/>
                <w:sz w:val="18"/>
                <w:szCs w:val="18"/>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68.Organize health education and creation of awareness to construct household latrine/ Community Led Total Sanitation (CLTS) /  WASH by the end of Dec. 2023.</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District wide </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Health education and awareness creation on household latrines organized</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20,000.00</w:t>
            </w:r>
          </w:p>
        </w:tc>
        <w:tc>
          <w:tcPr>
            <w:tcW w:w="106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69.Organize Health screening of food and drink vendors by the end of Dec. 2023.</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Enhanced food hygiene in the District.</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106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70.Leveling of engineered landfill site</w:t>
            </w:r>
          </w:p>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Fumigation of refuse dumps</w:t>
            </w:r>
          </w:p>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Desilting of choke drains by the end of Dec. 2023.</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District wide </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Landfill sites leveled and fumigated.</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w:t>
            </w: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55,000.00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Zoomlion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71.Waste landfills sites, fumigation &amp; sanitation improvement</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Waste Landfill sites fumigated</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100,000.00</w:t>
            </w:r>
          </w:p>
        </w:tc>
        <w:tc>
          <w:tcPr>
            <w:tcW w:w="106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Zoomlion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72.Interment of unknown dead bodies</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Unknown dead bodies interred </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106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45" w:type="dxa"/>
            <w:gridSpan w:val="2"/>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Services Delivery</w:t>
            </w:r>
          </w:p>
        </w:tc>
        <w:tc>
          <w:tcPr>
            <w:tcW w:w="1176"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health services and management </w:t>
            </w:r>
          </w:p>
        </w:tc>
        <w:tc>
          <w:tcPr>
            <w:tcW w:w="1353" w:type="dxa"/>
          </w:tcPr>
          <w:p>
            <w:pPr>
              <w:spacing w:after="0" w:line="240" w:lineRule="auto"/>
              <w:jc w:val="both"/>
              <w:rPr>
                <w:rFonts w:ascii="Times New Roman" w:hAnsi="Times New Roman" w:cs="Times New Roman"/>
                <w:bCs/>
                <w:color w:val="auto"/>
                <w:sz w:val="18"/>
                <w:szCs w:val="18"/>
                <w:highlight w:val="none"/>
                <w:lang w:val="en-US"/>
              </w:rPr>
            </w:pPr>
            <w:r>
              <w:rPr>
                <w:rFonts w:ascii="Times New Roman" w:hAnsi="Times New Roman" w:cs="Times New Roman"/>
                <w:bCs/>
                <w:color w:val="auto"/>
                <w:sz w:val="18"/>
                <w:szCs w:val="18"/>
                <w:highlight w:val="none"/>
                <w:lang w:val="en-US"/>
              </w:rPr>
              <w:t>73.Support for DWST</w:t>
            </w:r>
          </w:p>
        </w:tc>
        <w:tc>
          <w:tcPr>
            <w:tcW w:w="902" w:type="dxa"/>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28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DWST activities support</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6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106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38"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63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DEHU</w:t>
            </w:r>
          </w:p>
        </w:tc>
        <w:tc>
          <w:tcPr>
            <w:tcW w:w="1125"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cs="Times New Roman"/>
          <w:b/>
          <w:color w:val="auto"/>
          <w:sz w:val="28"/>
          <w:szCs w:val="28"/>
          <w:highlight w:val="none"/>
          <w:lang w:val="en-US"/>
        </w:rPr>
      </w:pPr>
    </w:p>
    <w:p>
      <w:pPr>
        <w:rPr>
          <w:rFonts w:ascii="Times New Roman" w:hAnsi="Times New Roman" w:cs="Times New Roman"/>
          <w:b/>
          <w:color w:val="auto"/>
          <w:sz w:val="28"/>
          <w:szCs w:val="28"/>
          <w:highlight w:val="none"/>
          <w:lang w:val="en-US"/>
        </w:rPr>
      </w:pPr>
    </w:p>
    <w:p>
      <w:pPr>
        <w:rPr>
          <w:rFonts w:ascii="Times New Roman" w:hAnsi="Times New Roman" w:cs="Times New Roman"/>
          <w:b/>
          <w:color w:val="auto"/>
          <w:sz w:val="28"/>
          <w:szCs w:val="28"/>
          <w:highlight w:val="none"/>
          <w:lang w:val="en-US"/>
        </w:rPr>
      </w:pPr>
    </w:p>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30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3"/>
        <w:gridCol w:w="1238"/>
        <w:gridCol w:w="1198"/>
        <w:gridCol w:w="932"/>
        <w:gridCol w:w="448"/>
        <w:gridCol w:w="448"/>
        <w:gridCol w:w="448"/>
        <w:gridCol w:w="448"/>
        <w:gridCol w:w="966"/>
        <w:gridCol w:w="602"/>
        <w:gridCol w:w="1056"/>
        <w:gridCol w:w="1176"/>
        <w:gridCol w:w="724"/>
        <w:gridCol w:w="454"/>
        <w:gridCol w:w="578"/>
        <w:gridCol w:w="578"/>
        <w:gridCol w:w="592"/>
        <w:gridCol w:w="720"/>
        <w:gridCol w:w="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15300" w:type="dxa"/>
            <w:gridSpan w:val="19"/>
          </w:tcPr>
          <w:p>
            <w:pPr>
              <w:spacing w:after="0" w:line="240" w:lineRule="auto"/>
              <w:jc w:val="center"/>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Create equitable, healthy and discipline society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1883" w:type="dxa"/>
            <w:vMerge w:val="restart"/>
          </w:tcPr>
          <w:p>
            <w:pPr>
              <w:spacing w:after="0" w:line="240" w:lineRule="auto"/>
              <w:ind w:left="705" w:hanging="22"/>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238"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198"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932"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92"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96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Outcome</w:t>
            </w:r>
          </w:p>
        </w:tc>
        <w:tc>
          <w:tcPr>
            <w:tcW w:w="4590"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70"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531"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Implementing institution / 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883" w:type="dxa"/>
            <w:vMerge w:val="continue"/>
          </w:tcPr>
          <w:p>
            <w:pPr>
              <w:spacing w:after="0" w:line="240" w:lineRule="auto"/>
              <w:rPr>
                <w:rFonts w:ascii="Times New Roman" w:hAnsi="Times New Roman" w:cs="Times New Roman"/>
                <w:b/>
                <w:color w:val="auto"/>
                <w:sz w:val="18"/>
                <w:szCs w:val="18"/>
                <w:highlight w:val="none"/>
                <w:lang w:val="en-GB"/>
              </w:rPr>
            </w:pPr>
          </w:p>
        </w:tc>
        <w:tc>
          <w:tcPr>
            <w:tcW w:w="1238" w:type="dxa"/>
            <w:vMerge w:val="continue"/>
          </w:tcPr>
          <w:p>
            <w:pPr>
              <w:spacing w:after="0" w:line="240" w:lineRule="auto"/>
              <w:rPr>
                <w:rFonts w:ascii="Times New Roman" w:hAnsi="Times New Roman" w:cs="Times New Roman"/>
                <w:b/>
                <w:color w:val="auto"/>
                <w:sz w:val="18"/>
                <w:szCs w:val="18"/>
                <w:highlight w:val="none"/>
                <w:lang w:val="en-GB"/>
              </w:rPr>
            </w:pPr>
          </w:p>
        </w:tc>
        <w:tc>
          <w:tcPr>
            <w:tcW w:w="1198" w:type="dxa"/>
            <w:vMerge w:val="continue"/>
          </w:tcPr>
          <w:p>
            <w:pPr>
              <w:spacing w:after="0" w:line="240" w:lineRule="auto"/>
              <w:rPr>
                <w:rFonts w:ascii="Times New Roman" w:hAnsi="Times New Roman" w:cs="Times New Roman"/>
                <w:b/>
                <w:color w:val="auto"/>
                <w:sz w:val="18"/>
                <w:szCs w:val="18"/>
                <w:highlight w:val="none"/>
                <w:lang w:val="en-GB"/>
              </w:rPr>
            </w:pPr>
          </w:p>
        </w:tc>
        <w:tc>
          <w:tcPr>
            <w:tcW w:w="932" w:type="dxa"/>
            <w:vMerge w:val="continue"/>
          </w:tcPr>
          <w:p>
            <w:pPr>
              <w:spacing w:after="0" w:line="240" w:lineRule="auto"/>
              <w:rPr>
                <w:rFonts w:ascii="Times New Roman" w:hAnsi="Times New Roman" w:cs="Times New Roman"/>
                <w:b/>
                <w:color w:val="auto"/>
                <w:sz w:val="18"/>
                <w:szCs w:val="18"/>
                <w:highlight w:val="none"/>
                <w:lang w:val="en-GB"/>
              </w:rPr>
            </w:pP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966" w:type="dxa"/>
            <w:vMerge w:val="continue"/>
          </w:tcPr>
          <w:p>
            <w:pPr>
              <w:spacing w:after="0" w:line="240" w:lineRule="auto"/>
              <w:rPr>
                <w:rFonts w:ascii="Times New Roman" w:hAnsi="Times New Roman" w:cs="Times New Roman"/>
                <w:b/>
                <w:color w:val="auto"/>
                <w:sz w:val="18"/>
                <w:szCs w:val="18"/>
                <w:highlight w:val="none"/>
                <w:lang w:val="en-GB"/>
              </w:rPr>
            </w:pPr>
          </w:p>
        </w:tc>
        <w:tc>
          <w:tcPr>
            <w:tcW w:w="60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0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11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2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7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Others</w:t>
            </w:r>
          </w:p>
        </w:tc>
        <w:tc>
          <w:tcPr>
            <w:tcW w:w="57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59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Ong</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oing </w:t>
            </w:r>
          </w:p>
        </w:tc>
        <w:tc>
          <w:tcPr>
            <w:tcW w:w="72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811"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 delivery </w:t>
            </w:r>
          </w:p>
        </w:tc>
        <w:tc>
          <w:tcPr>
            <w:tcW w:w="123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Protection Programmes</w:t>
            </w: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74.Train SW&amp;CD staff on sign language communication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New</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Improved sign language communication </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1176"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592" w:type="dxa"/>
          </w:tcPr>
          <w:p>
            <w:pPr>
              <w:spacing w:after="0" w:line="240" w:lineRule="auto"/>
              <w:rPr>
                <w:rFonts w:ascii="Times New Roman" w:hAnsi="Times New Roman" w:cs="Times New Roman"/>
                <w:color w:val="auto"/>
                <w:sz w:val="18"/>
                <w:szCs w:val="18"/>
                <w:highlight w:val="none"/>
                <w:lang w:val="en-US"/>
              </w:rPr>
            </w:pP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ind w:right="432"/>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services delivery </w:t>
            </w:r>
          </w:p>
        </w:tc>
        <w:tc>
          <w:tcPr>
            <w:tcW w:w="123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Protection Programmes</w:t>
            </w:r>
          </w:p>
          <w:p>
            <w:pPr>
              <w:spacing w:after="0" w:line="240" w:lineRule="auto"/>
              <w:rPr>
                <w:rFonts w:ascii="Times New Roman" w:hAnsi="Times New Roman" w:cs="Times New Roman"/>
                <w:color w:val="auto"/>
                <w:sz w:val="18"/>
                <w:szCs w:val="18"/>
                <w:highlight w:val="none"/>
                <w:lang w:val="en-US"/>
              </w:rPr>
            </w:pP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75.Prepare gender strategic plan and support to specific gender programmes/ Giz GoviD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Strategic gender plan prepared by December 2023</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1176"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592" w:type="dxa"/>
          </w:tcPr>
          <w:p>
            <w:pPr>
              <w:spacing w:after="0" w:line="240" w:lineRule="auto"/>
              <w:rPr>
                <w:rFonts w:ascii="Times New Roman" w:hAnsi="Times New Roman" w:cs="Times New Roman"/>
                <w:color w:val="auto"/>
                <w:sz w:val="18"/>
                <w:szCs w:val="18"/>
                <w:highlight w:val="none"/>
                <w:lang w:val="en-US"/>
              </w:rPr>
            </w:pP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DSW&amp;</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CD</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ind w:right="432"/>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services delivery </w:t>
            </w:r>
          </w:p>
        </w:tc>
        <w:tc>
          <w:tcPr>
            <w:tcW w:w="123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Protection Programmes</w:t>
            </w:r>
          </w:p>
          <w:p>
            <w:pPr>
              <w:spacing w:after="0" w:line="240" w:lineRule="auto"/>
              <w:rPr>
                <w:rFonts w:ascii="Times New Roman" w:hAnsi="Times New Roman" w:cs="Times New Roman"/>
                <w:color w:val="auto"/>
                <w:sz w:val="18"/>
                <w:szCs w:val="18"/>
                <w:highlight w:val="none"/>
                <w:lang w:val="en-US"/>
              </w:rPr>
            </w:pP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76.Support PWDs in their income generating activities, educational support and capacity building for their organizations and Govid Partners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New Abirem</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PWDs supports in income generating activities</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56" w:type="dxa"/>
          </w:tcPr>
          <w:p>
            <w:pPr>
              <w:spacing w:after="0" w:line="240" w:lineRule="auto"/>
              <w:rPr>
                <w:rFonts w:ascii="Times New Roman" w:hAnsi="Times New Roman" w:cs="Times New Roman"/>
                <w:color w:val="auto"/>
                <w:sz w:val="18"/>
                <w:szCs w:val="18"/>
                <w:highlight w:val="none"/>
                <w:lang w:val="en-US"/>
              </w:rPr>
            </w:pPr>
          </w:p>
        </w:tc>
        <w:tc>
          <w:tcPr>
            <w:tcW w:w="11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280,000.00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592" w:type="dxa"/>
          </w:tcPr>
          <w:p>
            <w:pPr>
              <w:spacing w:after="0" w:line="240" w:lineRule="auto"/>
              <w:rPr>
                <w:rFonts w:ascii="Times New Roman" w:hAnsi="Times New Roman" w:cs="Times New Roman"/>
                <w:color w:val="auto"/>
                <w:sz w:val="18"/>
                <w:szCs w:val="18"/>
                <w:highlight w:val="none"/>
                <w:lang w:val="en-US"/>
              </w:rPr>
            </w:pP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DSW&amp;</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CD</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ind w:right="432"/>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services delivery </w:t>
            </w:r>
          </w:p>
        </w:tc>
        <w:tc>
          <w:tcPr>
            <w:tcW w:w="123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Protection Programmes</w:t>
            </w:r>
          </w:p>
          <w:p>
            <w:pPr>
              <w:spacing w:after="0" w:line="240" w:lineRule="auto"/>
              <w:rPr>
                <w:rFonts w:ascii="Times New Roman" w:hAnsi="Times New Roman" w:cs="Times New Roman"/>
                <w:color w:val="auto"/>
                <w:sz w:val="18"/>
                <w:szCs w:val="18"/>
                <w:highlight w:val="none"/>
                <w:lang w:val="en-US"/>
              </w:rPr>
            </w:pP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77.</w:t>
            </w:r>
            <w:r>
              <w:rPr>
                <w:rFonts w:ascii="Times New Roman" w:hAnsi="Times New Roman" w:cs="Times New Roman"/>
                <w:color w:val="auto"/>
                <w:sz w:val="18"/>
                <w:szCs w:val="18"/>
                <w:highlight w:val="none"/>
                <w:lang w:val="en-US"/>
              </w:rPr>
              <w:t>Train enumerators to collect data on Vulnerability and Marginalization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Improved vulnerability data collection </w:t>
            </w:r>
          </w:p>
        </w:tc>
        <w:tc>
          <w:tcPr>
            <w:tcW w:w="60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w:t>
            </w:r>
          </w:p>
        </w:tc>
        <w:tc>
          <w:tcPr>
            <w:tcW w:w="10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8,000.00</w:t>
            </w:r>
          </w:p>
        </w:tc>
        <w:tc>
          <w:tcPr>
            <w:tcW w:w="1176"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578" w:type="dxa"/>
          </w:tcPr>
          <w:p>
            <w:pPr>
              <w:spacing w:after="0" w:line="240" w:lineRule="auto"/>
              <w:rPr>
                <w:rFonts w:ascii="Times New Roman" w:hAnsi="Times New Roman" w:cs="Times New Roman"/>
                <w:color w:val="auto"/>
                <w:sz w:val="18"/>
                <w:szCs w:val="18"/>
                <w:highlight w:val="none"/>
                <w:lang w:val="en-US"/>
              </w:rPr>
            </w:pPr>
          </w:p>
        </w:tc>
        <w:tc>
          <w:tcPr>
            <w:tcW w:w="592" w:type="dxa"/>
          </w:tcPr>
          <w:p>
            <w:pPr>
              <w:spacing w:after="0" w:line="240" w:lineRule="auto"/>
              <w:rPr>
                <w:rFonts w:ascii="Times New Roman" w:hAnsi="Times New Roman" w:cs="Times New Roman"/>
                <w:color w:val="auto"/>
                <w:sz w:val="18"/>
                <w:szCs w:val="18"/>
                <w:highlight w:val="none"/>
                <w:lang w:val="en-US"/>
              </w:rPr>
            </w:pP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DSW&amp;</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CD</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ind w:right="432"/>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services delivery </w:t>
            </w:r>
          </w:p>
        </w:tc>
        <w:tc>
          <w:tcPr>
            <w:tcW w:w="123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Protection Programmes</w:t>
            </w:r>
          </w:p>
          <w:p>
            <w:pPr>
              <w:spacing w:after="0" w:line="240" w:lineRule="auto"/>
              <w:rPr>
                <w:rFonts w:ascii="Times New Roman" w:hAnsi="Times New Roman" w:cs="Times New Roman"/>
                <w:color w:val="auto"/>
                <w:sz w:val="18"/>
                <w:szCs w:val="18"/>
                <w:highlight w:val="none"/>
                <w:lang w:val="en-US"/>
              </w:rPr>
            </w:pP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78.Collect data, supervise and monitor activities of day care centers in the district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Availability of data for quality for effective Daycare supervision </w:t>
            </w:r>
          </w:p>
        </w:tc>
        <w:tc>
          <w:tcPr>
            <w:tcW w:w="60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w:t>
            </w:r>
          </w:p>
        </w:tc>
        <w:tc>
          <w:tcPr>
            <w:tcW w:w="10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1176"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92" w:type="dxa"/>
          </w:tcPr>
          <w:p>
            <w:pPr>
              <w:spacing w:after="0" w:line="240" w:lineRule="auto"/>
              <w:rPr>
                <w:rFonts w:ascii="Times New Roman" w:hAnsi="Times New Roman" w:cs="Times New Roman"/>
                <w:color w:val="auto"/>
                <w:sz w:val="18"/>
                <w:szCs w:val="18"/>
                <w:highlight w:val="none"/>
                <w:lang w:val="en-US"/>
              </w:rPr>
            </w:pPr>
          </w:p>
        </w:tc>
        <w:tc>
          <w:tcPr>
            <w:tcW w:w="720" w:type="dxa"/>
          </w:tcPr>
          <w:p>
            <w:pPr>
              <w:spacing w:after="0" w:line="240" w:lineRule="auto"/>
              <w:rPr>
                <w:rFonts w:ascii="Times New Roman" w:hAnsi="Times New Roman" w:cs="Times New Roman"/>
                <w:color w:val="auto"/>
                <w:sz w:val="18"/>
                <w:szCs w:val="18"/>
                <w:highlight w:val="none"/>
                <w:lang w:val="en-US"/>
              </w:rPr>
            </w:pPr>
          </w:p>
        </w:tc>
        <w:tc>
          <w:tcPr>
            <w:tcW w:w="811" w:type="dxa"/>
          </w:tcPr>
          <w:p>
            <w:pPr>
              <w:spacing w:after="0" w:line="240" w:lineRule="auto"/>
              <w:rPr>
                <w:rFonts w:ascii="Times New Roman" w:hAnsi="Times New Roman" w:cs="Times New Roman"/>
                <w:color w:val="auto"/>
                <w:sz w:val="18"/>
                <w:szCs w:val="18"/>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 delivery </w:t>
            </w:r>
          </w:p>
        </w:tc>
        <w:tc>
          <w:tcPr>
            <w:tcW w:w="123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Protection Programmes</w:t>
            </w: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79.Community sensitization on HIV/AIDS and teenage pregnancy  by December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Sensitization on HIV/AIDS and teenage pregnancy organized</w:t>
            </w:r>
          </w:p>
        </w:tc>
        <w:tc>
          <w:tcPr>
            <w:tcW w:w="60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10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11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9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DSW&amp;</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CD</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GHS, GES, NGO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services delivery </w:t>
            </w:r>
          </w:p>
        </w:tc>
        <w:tc>
          <w:tcPr>
            <w:tcW w:w="123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Protection Programmes</w:t>
            </w: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80.</w:t>
            </w:r>
            <w:r>
              <w:rPr>
                <w:rFonts w:ascii="Times New Roman" w:hAnsi="Times New Roman" w:cs="Times New Roman"/>
                <w:color w:val="auto"/>
                <w:sz w:val="18"/>
                <w:szCs w:val="18"/>
                <w:highlight w:val="none"/>
                <w:lang w:val="en-US"/>
              </w:rPr>
              <w:t>Train SW&amp;CD staff and Probation Officers on Juvenile case management and Standard Operating Procedures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Capacity of staff  built in Juvenile case management</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6,000.00</w:t>
            </w:r>
          </w:p>
        </w:tc>
        <w:tc>
          <w:tcPr>
            <w:tcW w:w="1176"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592" w:type="dxa"/>
          </w:tcPr>
          <w:p>
            <w:pPr>
              <w:spacing w:after="0" w:line="240" w:lineRule="auto"/>
              <w:rPr>
                <w:rFonts w:ascii="Times New Roman" w:hAnsi="Times New Roman" w:cs="Times New Roman"/>
                <w:color w:val="auto"/>
                <w:sz w:val="18"/>
                <w:szCs w:val="18"/>
                <w:highlight w:val="none"/>
                <w:lang w:val="en-US"/>
              </w:rPr>
            </w:pP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DSW&amp;CD</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services delivery </w:t>
            </w:r>
          </w:p>
        </w:tc>
        <w:tc>
          <w:tcPr>
            <w:tcW w:w="12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welfare and community services </w:t>
            </w: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81.Assist children in conflict with the law and </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Conduct social enquiries/ investigations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Children Assisted and social enquiries/investigations conducted</w:t>
            </w:r>
          </w:p>
        </w:tc>
        <w:tc>
          <w:tcPr>
            <w:tcW w:w="60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6,000.00</w:t>
            </w:r>
          </w:p>
        </w:tc>
        <w:tc>
          <w:tcPr>
            <w:tcW w:w="10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w:t>
            </w:r>
          </w:p>
        </w:tc>
        <w:tc>
          <w:tcPr>
            <w:tcW w:w="1176"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9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DSW&amp;CD</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Police Assembly members, Nananom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 delivery </w:t>
            </w:r>
          </w:p>
        </w:tc>
        <w:tc>
          <w:tcPr>
            <w:tcW w:w="12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welfare and community services </w:t>
            </w:r>
          </w:p>
        </w:tc>
        <w:tc>
          <w:tcPr>
            <w:tcW w:w="119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82.Monitor LEAP implementation  activities </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Monitoring conducted on LEAP activities in the District</w:t>
            </w:r>
          </w:p>
        </w:tc>
        <w:tc>
          <w:tcPr>
            <w:tcW w:w="602" w:type="dxa"/>
          </w:tcPr>
          <w:p>
            <w:pPr>
              <w:spacing w:after="0" w:line="240" w:lineRule="auto"/>
              <w:rPr>
                <w:rFonts w:ascii="Times New Roman" w:hAnsi="Times New Roman" w:cs="Times New Roman"/>
                <w:color w:val="auto"/>
                <w:sz w:val="18"/>
                <w:szCs w:val="18"/>
                <w:highlight w:val="none"/>
                <w:lang w:val="en-US"/>
              </w:rPr>
            </w:pPr>
          </w:p>
        </w:tc>
        <w:tc>
          <w:tcPr>
            <w:tcW w:w="1056" w:type="dxa"/>
          </w:tcPr>
          <w:p>
            <w:pPr>
              <w:spacing w:after="0" w:line="240" w:lineRule="auto"/>
              <w:rPr>
                <w:rFonts w:ascii="Times New Roman" w:hAnsi="Times New Roman" w:cs="Times New Roman"/>
                <w:color w:val="auto"/>
                <w:sz w:val="18"/>
                <w:szCs w:val="18"/>
                <w:highlight w:val="none"/>
                <w:lang w:val="en-US"/>
              </w:rPr>
            </w:pPr>
          </w:p>
        </w:tc>
        <w:tc>
          <w:tcPr>
            <w:tcW w:w="11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9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DSW&amp;CD</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Agric, GHS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88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service delivery </w:t>
            </w:r>
          </w:p>
        </w:tc>
        <w:tc>
          <w:tcPr>
            <w:tcW w:w="123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Social welfare and community services </w:t>
            </w:r>
          </w:p>
        </w:tc>
        <w:tc>
          <w:tcPr>
            <w:tcW w:w="1198" w:type="dxa"/>
          </w:tcPr>
          <w:p>
            <w:pPr>
              <w:spacing w:after="0" w:line="240" w:lineRule="auto"/>
              <w:rPr>
                <w:rFonts w:ascii="Times New Roman" w:hAnsi="Times New Roman" w:cs="Times New Roman"/>
                <w:b/>
                <w:color w:val="auto"/>
                <w:sz w:val="18"/>
                <w:szCs w:val="18"/>
                <w:highlight w:val="none"/>
                <w:lang w:val="en-US"/>
              </w:rPr>
            </w:pPr>
            <w:r>
              <w:rPr>
                <w:rFonts w:ascii="Times New Roman" w:hAnsi="Times New Roman" w:cs="Times New Roman"/>
                <w:color w:val="auto"/>
                <w:sz w:val="18"/>
                <w:szCs w:val="18"/>
                <w:highlight w:val="none"/>
                <w:lang w:val="en-GB"/>
              </w:rPr>
              <w:t>83</w:t>
            </w:r>
            <w:r>
              <w:rPr>
                <w:rFonts w:ascii="Times New Roman" w:hAnsi="Times New Roman" w:cs="Times New Roman"/>
                <w:color w:val="auto"/>
                <w:sz w:val="18"/>
                <w:szCs w:val="18"/>
                <w:highlight w:val="none"/>
                <w:lang w:val="en-US"/>
              </w:rPr>
              <w:t>.Roll out of the child protection through community engagement and dialogue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Sensitization organized on child protection in the District</w:t>
            </w:r>
          </w:p>
        </w:tc>
        <w:tc>
          <w:tcPr>
            <w:tcW w:w="60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w:t>
            </w:r>
          </w:p>
        </w:tc>
        <w:tc>
          <w:tcPr>
            <w:tcW w:w="10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1176"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59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2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DSW&amp;CD</w:t>
            </w:r>
          </w:p>
        </w:tc>
        <w:tc>
          <w:tcPr>
            <w:tcW w:w="81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GES, GHS</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30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616"/>
        <w:gridCol w:w="1163"/>
        <w:gridCol w:w="1648"/>
        <w:gridCol w:w="1075"/>
        <w:gridCol w:w="448"/>
        <w:gridCol w:w="448"/>
        <w:gridCol w:w="448"/>
        <w:gridCol w:w="448"/>
        <w:gridCol w:w="1146"/>
        <w:gridCol w:w="644"/>
        <w:gridCol w:w="1055"/>
        <w:gridCol w:w="782"/>
        <w:gridCol w:w="776"/>
        <w:gridCol w:w="456"/>
        <w:gridCol w:w="761"/>
        <w:gridCol w:w="7"/>
        <w:gridCol w:w="560"/>
        <w:gridCol w:w="615"/>
        <w:gridCol w:w="709"/>
        <w:gridCol w:w="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674" w:type="dxa"/>
          </w:tcPr>
          <w:p>
            <w:pPr>
              <w:spacing w:after="0" w:line="240" w:lineRule="auto"/>
              <w:rPr>
                <w:rFonts w:ascii="Times New Roman" w:hAnsi="Times New Roman" w:cs="Times New Roman"/>
                <w:b/>
                <w:color w:val="auto"/>
                <w:sz w:val="18"/>
                <w:szCs w:val="18"/>
                <w:highlight w:val="none"/>
                <w:lang w:val="en-GB"/>
              </w:rPr>
            </w:pPr>
          </w:p>
        </w:tc>
        <w:tc>
          <w:tcPr>
            <w:tcW w:w="14626" w:type="dxa"/>
            <w:gridSpan w:val="20"/>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Build safe and well planned communities whiles protecting the natural environment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1290"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163"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648"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1075"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92"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14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Outcome</w:t>
            </w:r>
          </w:p>
        </w:tc>
        <w:tc>
          <w:tcPr>
            <w:tcW w:w="4481" w:type="dxa"/>
            <w:gridSpan w:val="7"/>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75"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530"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Implementing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institution /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290"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163" w:type="dxa"/>
            <w:vMerge w:val="continue"/>
          </w:tcPr>
          <w:p>
            <w:pPr>
              <w:spacing w:after="0" w:line="240" w:lineRule="auto"/>
              <w:rPr>
                <w:rFonts w:ascii="Times New Roman" w:hAnsi="Times New Roman" w:cs="Times New Roman"/>
                <w:b/>
                <w:color w:val="auto"/>
                <w:sz w:val="18"/>
                <w:szCs w:val="18"/>
                <w:highlight w:val="none"/>
                <w:lang w:val="en-GB"/>
              </w:rPr>
            </w:pPr>
          </w:p>
        </w:tc>
        <w:tc>
          <w:tcPr>
            <w:tcW w:w="1648" w:type="dxa"/>
            <w:vMerge w:val="continue"/>
          </w:tcPr>
          <w:p>
            <w:pPr>
              <w:spacing w:after="0" w:line="240" w:lineRule="auto"/>
              <w:rPr>
                <w:rFonts w:ascii="Times New Roman" w:hAnsi="Times New Roman" w:cs="Times New Roman"/>
                <w:b/>
                <w:color w:val="auto"/>
                <w:sz w:val="18"/>
                <w:szCs w:val="18"/>
                <w:highlight w:val="none"/>
                <w:lang w:val="en-GB"/>
              </w:rPr>
            </w:pPr>
          </w:p>
        </w:tc>
        <w:tc>
          <w:tcPr>
            <w:tcW w:w="1075" w:type="dxa"/>
            <w:vMerge w:val="continue"/>
          </w:tcPr>
          <w:p>
            <w:pPr>
              <w:spacing w:after="0" w:line="240" w:lineRule="auto"/>
              <w:rPr>
                <w:rFonts w:ascii="Times New Roman" w:hAnsi="Times New Roman" w:cs="Times New Roman"/>
                <w:b/>
                <w:color w:val="auto"/>
                <w:sz w:val="18"/>
                <w:szCs w:val="18"/>
                <w:highlight w:val="none"/>
                <w:lang w:val="en-GB"/>
              </w:rPr>
            </w:pP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146" w:type="dxa"/>
            <w:vMerge w:val="continue"/>
          </w:tcPr>
          <w:p>
            <w:pPr>
              <w:spacing w:after="0" w:line="240" w:lineRule="auto"/>
              <w:rPr>
                <w:rFonts w:ascii="Times New Roman" w:hAnsi="Times New Roman" w:cs="Times New Roman"/>
                <w:b/>
                <w:color w:val="auto"/>
                <w:sz w:val="18"/>
                <w:szCs w:val="18"/>
                <w:highlight w:val="none"/>
                <w:lang w:val="en-GB"/>
              </w:rPr>
            </w:pPr>
          </w:p>
        </w:tc>
        <w:tc>
          <w:tcPr>
            <w:tcW w:w="64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055"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78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761"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Others</w:t>
            </w:r>
          </w:p>
        </w:tc>
        <w:tc>
          <w:tcPr>
            <w:tcW w:w="567"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615"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Ong</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oing </w:t>
            </w:r>
          </w:p>
        </w:tc>
        <w:tc>
          <w:tcPr>
            <w:tcW w:w="709"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821"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9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Physical and spatial planning </w:t>
            </w:r>
          </w:p>
        </w:tc>
        <w:tc>
          <w:tcPr>
            <w:tcW w:w="16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84</w:t>
            </w:r>
            <w:r>
              <w:rPr>
                <w:rFonts w:ascii="Times New Roman" w:hAnsi="Times New Roman" w:cs="Times New Roman"/>
                <w:color w:val="auto"/>
                <w:sz w:val="18"/>
                <w:szCs w:val="18"/>
                <w:highlight w:val="none"/>
                <w:lang w:val="en-US"/>
              </w:rPr>
              <w:t xml:space="preserve">.Implement street naming  and property addressing system, </w:t>
            </w:r>
            <w:r>
              <w:rPr>
                <w:rFonts w:ascii="Times New Roman" w:hAnsi="Times New Roman" w:cs="Times New Roman"/>
                <w:color w:val="auto"/>
                <w:sz w:val="18"/>
                <w:szCs w:val="18"/>
                <w:highlight w:val="none"/>
                <w:lang w:val="en-US"/>
              </w:rPr>
              <w:t>Digitize satellite images, Ground- Trothing, Upgrade address maps and revise existing local plans/Giz GoviD by Dec.</w:t>
            </w:r>
          </w:p>
        </w:tc>
        <w:tc>
          <w:tcPr>
            <w:tcW w:w="107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Existing local plans updated, Digital satellite images prepared and streets named in the District</w:t>
            </w: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95,000.00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p>
        </w:tc>
        <w:tc>
          <w:tcPr>
            <w:tcW w:w="61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0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PPD</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9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Physical and spatial planning </w:t>
            </w:r>
          </w:p>
        </w:tc>
        <w:tc>
          <w:tcPr>
            <w:tcW w:w="16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85.Prepare base maps and local plans for 2 communities by Dec. 2023</w:t>
            </w:r>
          </w:p>
        </w:tc>
        <w:tc>
          <w:tcPr>
            <w:tcW w:w="107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Hweakwae &amp; Amuana Praso</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Base maps prepared in the District.</w:t>
            </w: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p>
        </w:tc>
        <w:tc>
          <w:tcPr>
            <w:tcW w:w="61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0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PPD</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trPr>
        <w:tc>
          <w:tcPr>
            <w:tcW w:w="1290" w:type="dxa"/>
            <w:gridSpan w:val="2"/>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GB"/>
              </w:rPr>
              <w:t xml:space="preserve">Physical and spatial planning </w:t>
            </w:r>
          </w:p>
        </w:tc>
        <w:tc>
          <w:tcPr>
            <w:tcW w:w="1648" w:type="dxa"/>
            <w:vAlign w:val="bottom"/>
          </w:tcPr>
          <w:p>
            <w:pPr>
              <w:spacing w:after="0" w:line="240" w:lineRule="auto"/>
              <w:jc w:val="both"/>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86.Training of PPD staff to upgrading address maps into approved local plans by Dec. 2023</w:t>
            </w:r>
          </w:p>
        </w:tc>
        <w:tc>
          <w:tcPr>
            <w:tcW w:w="107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11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PPD staff trained on address maps upgrading into approved local plans</w:t>
            </w: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25,000.00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p>
        </w:tc>
        <w:tc>
          <w:tcPr>
            <w:tcW w:w="61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0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PPO</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90" w:type="dxa"/>
            <w:gridSpan w:val="2"/>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GB"/>
              </w:rPr>
              <w:t xml:space="preserve">Physical and spatial planning </w:t>
            </w:r>
          </w:p>
        </w:tc>
        <w:tc>
          <w:tcPr>
            <w:tcW w:w="1648"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87.Refresher trainings for PPD Staff on SNPA</w:t>
            </w:r>
          </w:p>
        </w:tc>
        <w:tc>
          <w:tcPr>
            <w:tcW w:w="1075"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11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Refresher trainings organized on SNPA for PPD staff</w:t>
            </w: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15,000.00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p>
        </w:tc>
        <w:tc>
          <w:tcPr>
            <w:tcW w:w="61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09"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PPO</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9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Physical and spatial planning </w:t>
            </w:r>
          </w:p>
        </w:tc>
        <w:tc>
          <w:tcPr>
            <w:tcW w:w="16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88.</w:t>
            </w:r>
            <w:r>
              <w:rPr>
                <w:rFonts w:ascii="Times New Roman" w:hAnsi="Times New Roman" w:cs="Times New Roman"/>
                <w:color w:val="auto"/>
                <w:sz w:val="18"/>
                <w:szCs w:val="18"/>
                <w:highlight w:val="none"/>
                <w:lang w:val="en-US"/>
              </w:rPr>
              <w:t>Organize quarterly technical sup/ SAT &amp; spatial planning committee meeting</w:t>
            </w:r>
          </w:p>
        </w:tc>
        <w:tc>
          <w:tcPr>
            <w:tcW w:w="107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Assembly hall</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46" w:type="dxa"/>
          </w:tcPr>
          <w:p>
            <w:pPr>
              <w:spacing w:after="0" w:line="240" w:lineRule="auto"/>
              <w:rPr>
                <w:rFonts w:ascii="Times New Roman" w:hAnsi="Times New Roman" w:cs="Times New Roman"/>
                <w:color w:val="auto"/>
                <w:sz w:val="18"/>
                <w:szCs w:val="18"/>
                <w:highlight w:val="none"/>
                <w:lang w:val="en-US"/>
              </w:rPr>
            </w:pP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22,000.00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p>
        </w:tc>
        <w:tc>
          <w:tcPr>
            <w:tcW w:w="61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0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PPD</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9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Physical and spatial planning </w:t>
            </w:r>
          </w:p>
        </w:tc>
        <w:tc>
          <w:tcPr>
            <w:tcW w:w="16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89.Revision of 2 sector plans for 2 communities by Dec. 2023</w:t>
            </w:r>
          </w:p>
        </w:tc>
        <w:tc>
          <w:tcPr>
            <w:tcW w:w="107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Mamanso &amp; New Abirem</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11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 plans revised for 2 comminities</w:t>
            </w: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p>
        </w:tc>
        <w:tc>
          <w:tcPr>
            <w:tcW w:w="61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0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PPD</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9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Physical and spatial planning </w:t>
            </w:r>
          </w:p>
        </w:tc>
        <w:tc>
          <w:tcPr>
            <w:tcW w:w="16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90.Facilitate the documentation of assembly’s lands by Dec. 2023</w:t>
            </w:r>
          </w:p>
        </w:tc>
        <w:tc>
          <w:tcPr>
            <w:tcW w:w="107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Assembly lands documented</w:t>
            </w: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15,000.00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p>
        </w:tc>
        <w:tc>
          <w:tcPr>
            <w:tcW w:w="61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0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PPD</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9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Physical and spatial planning </w:t>
            </w:r>
          </w:p>
        </w:tc>
        <w:tc>
          <w:tcPr>
            <w:tcW w:w="16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91</w:t>
            </w:r>
            <w:r>
              <w:rPr>
                <w:rFonts w:ascii="Times New Roman" w:hAnsi="Times New Roman" w:cs="Times New Roman"/>
                <w:color w:val="auto"/>
                <w:sz w:val="18"/>
                <w:szCs w:val="18"/>
                <w:highlight w:val="none"/>
                <w:lang w:val="en-US"/>
              </w:rPr>
              <w:t xml:space="preserve">.Conduct weekly site inspection for the processing development application for permitting by Dec </w:t>
            </w:r>
          </w:p>
        </w:tc>
        <w:tc>
          <w:tcPr>
            <w:tcW w:w="107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1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Weekly site inspections conducted for processing of  development applications</w:t>
            </w: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p>
        </w:tc>
        <w:tc>
          <w:tcPr>
            <w:tcW w:w="61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0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PPD</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9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1163"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Physical and spatial planning </w:t>
            </w:r>
          </w:p>
        </w:tc>
        <w:tc>
          <w:tcPr>
            <w:tcW w:w="16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92</w:t>
            </w:r>
            <w:r>
              <w:rPr>
                <w:rFonts w:ascii="Times New Roman" w:hAnsi="Times New Roman" w:cs="Times New Roman"/>
                <w:color w:val="auto"/>
                <w:sz w:val="18"/>
                <w:szCs w:val="18"/>
                <w:highlight w:val="none"/>
                <w:lang w:val="en-US"/>
              </w:rPr>
              <w:t>.Landscaping and planting of ornamental plants to beautify the environment by Dec. 2023</w:t>
            </w:r>
          </w:p>
          <w:p>
            <w:pPr>
              <w:spacing w:after="0" w:line="240" w:lineRule="auto"/>
              <w:rPr>
                <w:rFonts w:ascii="Times New Roman" w:hAnsi="Times New Roman" w:cs="Times New Roman"/>
                <w:color w:val="auto"/>
                <w:sz w:val="18"/>
                <w:szCs w:val="18"/>
                <w:highlight w:val="none"/>
                <w:lang w:val="en-US"/>
              </w:rPr>
            </w:pPr>
          </w:p>
        </w:tc>
        <w:tc>
          <w:tcPr>
            <w:tcW w:w="107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 District wide</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11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Land scaped and ornamental plants planted</w:t>
            </w:r>
          </w:p>
        </w:tc>
        <w:tc>
          <w:tcPr>
            <w:tcW w:w="644" w:type="dxa"/>
          </w:tcPr>
          <w:p>
            <w:pPr>
              <w:spacing w:after="0" w:line="240" w:lineRule="auto"/>
              <w:rPr>
                <w:rFonts w:ascii="Times New Roman" w:hAnsi="Times New Roman" w:cs="Times New Roman"/>
                <w:color w:val="auto"/>
                <w:sz w:val="18"/>
                <w:szCs w:val="18"/>
                <w:highlight w:val="none"/>
                <w:lang w:val="en-US"/>
              </w:rPr>
            </w:pPr>
          </w:p>
        </w:tc>
        <w:tc>
          <w:tcPr>
            <w:tcW w:w="10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6,000.00</w:t>
            </w:r>
          </w:p>
        </w:tc>
        <w:tc>
          <w:tcPr>
            <w:tcW w:w="782"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761" w:type="dxa"/>
          </w:tcPr>
          <w:p>
            <w:pPr>
              <w:spacing w:after="0" w:line="240" w:lineRule="auto"/>
              <w:rPr>
                <w:rFonts w:ascii="Times New Roman" w:hAnsi="Times New Roman" w:cs="Times New Roman"/>
                <w:color w:val="auto"/>
                <w:sz w:val="18"/>
                <w:szCs w:val="18"/>
                <w:highlight w:val="none"/>
                <w:lang w:val="en-US"/>
              </w:rPr>
            </w:pPr>
          </w:p>
        </w:tc>
        <w:tc>
          <w:tcPr>
            <w:tcW w:w="567"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15" w:type="dxa"/>
          </w:tcPr>
          <w:p>
            <w:pPr>
              <w:spacing w:after="0" w:line="240" w:lineRule="auto"/>
              <w:rPr>
                <w:rFonts w:ascii="Times New Roman" w:hAnsi="Times New Roman" w:cs="Times New Roman"/>
                <w:color w:val="auto"/>
                <w:sz w:val="18"/>
                <w:szCs w:val="18"/>
                <w:highlight w:val="none"/>
                <w:lang w:val="en-US"/>
              </w:rPr>
            </w:pPr>
          </w:p>
        </w:tc>
        <w:tc>
          <w:tcPr>
            <w:tcW w:w="70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PPD</w:t>
            </w:r>
          </w:p>
        </w:tc>
        <w:tc>
          <w:tcPr>
            <w:tcW w:w="82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21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754"/>
        <w:gridCol w:w="821"/>
        <w:gridCol w:w="1203"/>
        <w:gridCol w:w="1170"/>
        <w:gridCol w:w="491"/>
        <w:gridCol w:w="448"/>
        <w:gridCol w:w="448"/>
        <w:gridCol w:w="448"/>
        <w:gridCol w:w="955"/>
        <w:gridCol w:w="552"/>
        <w:gridCol w:w="1158"/>
        <w:gridCol w:w="1219"/>
        <w:gridCol w:w="1116"/>
        <w:gridCol w:w="454"/>
        <w:gridCol w:w="631"/>
        <w:gridCol w:w="543"/>
        <w:gridCol w:w="717"/>
        <w:gridCol w:w="772"/>
        <w:gridCol w:w="750"/>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552" w:type="dxa"/>
          </w:tcPr>
          <w:p>
            <w:pPr>
              <w:spacing w:after="0" w:line="240" w:lineRule="auto"/>
              <w:rPr>
                <w:rFonts w:ascii="Times New Roman" w:hAnsi="Times New Roman" w:cs="Times New Roman"/>
                <w:b/>
                <w:color w:val="auto"/>
                <w:sz w:val="18"/>
                <w:szCs w:val="18"/>
                <w:highlight w:val="none"/>
                <w:lang w:val="en-GB"/>
              </w:rPr>
            </w:pPr>
          </w:p>
        </w:tc>
        <w:tc>
          <w:tcPr>
            <w:tcW w:w="14664" w:type="dxa"/>
            <w:gridSpan w:val="20"/>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Build safe and well planned communities whiles protecting the natural environment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1306" w:type="dxa"/>
            <w:gridSpan w:val="2"/>
            <w:vMerge w:val="restart"/>
          </w:tcPr>
          <w:p>
            <w:pPr>
              <w:spacing w:after="0" w:line="240" w:lineRule="auto"/>
              <w:jc w:val="both"/>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82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203"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1170"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835"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955"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Expected Output </w:t>
            </w:r>
          </w:p>
        </w:tc>
        <w:tc>
          <w:tcPr>
            <w:tcW w:w="5130"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260"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536" w:type="dxa"/>
            <w:gridSpan w:val="3"/>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Implementing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institution /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381" w:hRule="atLeast"/>
        </w:trPr>
        <w:tc>
          <w:tcPr>
            <w:tcW w:w="1306"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821" w:type="dxa"/>
            <w:vMerge w:val="continue"/>
          </w:tcPr>
          <w:p>
            <w:pPr>
              <w:spacing w:after="0" w:line="240" w:lineRule="auto"/>
              <w:rPr>
                <w:rFonts w:ascii="Times New Roman" w:hAnsi="Times New Roman" w:cs="Times New Roman"/>
                <w:b/>
                <w:color w:val="auto"/>
                <w:sz w:val="18"/>
                <w:szCs w:val="18"/>
                <w:highlight w:val="none"/>
                <w:lang w:val="en-GB"/>
              </w:rPr>
            </w:pPr>
          </w:p>
        </w:tc>
        <w:tc>
          <w:tcPr>
            <w:tcW w:w="1203" w:type="dxa"/>
            <w:vMerge w:val="continue"/>
          </w:tcPr>
          <w:p>
            <w:pPr>
              <w:spacing w:after="0" w:line="240" w:lineRule="auto"/>
              <w:rPr>
                <w:rFonts w:ascii="Times New Roman" w:hAnsi="Times New Roman" w:cs="Times New Roman"/>
                <w:b/>
                <w:color w:val="auto"/>
                <w:sz w:val="18"/>
                <w:szCs w:val="18"/>
                <w:highlight w:val="none"/>
                <w:lang w:val="en-GB"/>
              </w:rPr>
            </w:pPr>
          </w:p>
        </w:tc>
        <w:tc>
          <w:tcPr>
            <w:tcW w:w="1170" w:type="dxa"/>
            <w:vMerge w:val="continue"/>
          </w:tcPr>
          <w:p>
            <w:pPr>
              <w:spacing w:after="0" w:line="240" w:lineRule="auto"/>
              <w:rPr>
                <w:rFonts w:ascii="Times New Roman" w:hAnsi="Times New Roman" w:cs="Times New Roman"/>
                <w:b/>
                <w:color w:val="auto"/>
                <w:sz w:val="18"/>
                <w:szCs w:val="18"/>
                <w:highlight w:val="none"/>
                <w:lang w:val="en-GB"/>
              </w:rPr>
            </w:pPr>
          </w:p>
        </w:tc>
        <w:tc>
          <w:tcPr>
            <w:tcW w:w="491"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955" w:type="dxa"/>
            <w:vMerge w:val="continue"/>
          </w:tcPr>
          <w:p>
            <w:pPr>
              <w:spacing w:after="0" w:line="240" w:lineRule="auto"/>
              <w:rPr>
                <w:rFonts w:ascii="Times New Roman" w:hAnsi="Times New Roman" w:cs="Times New Roman"/>
                <w:b/>
                <w:color w:val="auto"/>
                <w:sz w:val="18"/>
                <w:szCs w:val="18"/>
                <w:highlight w:val="none"/>
                <w:lang w:val="en-GB"/>
              </w:rPr>
            </w:pPr>
          </w:p>
        </w:tc>
        <w:tc>
          <w:tcPr>
            <w:tcW w:w="55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15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1219"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111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631"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43"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71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Ong</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oing </w:t>
            </w:r>
          </w:p>
        </w:tc>
        <w:tc>
          <w:tcPr>
            <w:tcW w:w="77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75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93.Support Contract management / Development control by Dec. 2023</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contract management and Development controll</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30,000.00</w:t>
            </w:r>
          </w:p>
        </w:tc>
        <w:tc>
          <w:tcPr>
            <w:tcW w:w="121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15,000.00</w:t>
            </w:r>
          </w:p>
        </w:tc>
        <w:tc>
          <w:tcPr>
            <w:tcW w:w="111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7" w:type="dxa"/>
          </w:tcPr>
          <w:p>
            <w:pPr>
              <w:spacing w:after="0" w:line="240" w:lineRule="auto"/>
              <w:rPr>
                <w:rFonts w:ascii="Times New Roman" w:hAnsi="Times New Roman" w:cs="Times New Roman"/>
                <w:color w:val="auto"/>
                <w:sz w:val="18"/>
                <w:szCs w:val="18"/>
                <w:highlight w:val="none"/>
                <w:lang w:val="en-US"/>
              </w:rPr>
            </w:pP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94.Support MPs projects </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PMs Projects Supported</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p>
        </w:tc>
        <w:tc>
          <w:tcPr>
            <w:tcW w:w="121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312,000.00</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7" w:type="dxa"/>
          </w:tcPr>
          <w:p>
            <w:pPr>
              <w:spacing w:after="0" w:line="240" w:lineRule="auto"/>
              <w:rPr>
                <w:rFonts w:ascii="Times New Roman" w:hAnsi="Times New Roman" w:cs="Times New Roman"/>
                <w:color w:val="auto"/>
                <w:sz w:val="18"/>
                <w:szCs w:val="18"/>
                <w:highlight w:val="none"/>
                <w:lang w:val="en-US"/>
              </w:rPr>
            </w:pP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95.Support Self-help projects</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Self-help projects supported </w:t>
            </w:r>
          </w:p>
          <w:p>
            <w:pPr>
              <w:spacing w:after="0" w:line="240" w:lineRule="auto"/>
              <w:rPr>
                <w:rFonts w:ascii="Times New Roman" w:hAnsi="Times New Roman" w:cs="Times New Roman"/>
                <w:color w:val="auto"/>
                <w:sz w:val="18"/>
                <w:szCs w:val="18"/>
                <w:highlight w:val="none"/>
                <w:lang w:val="en-US"/>
              </w:rPr>
            </w:pP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w:t>
            </w:r>
          </w:p>
        </w:tc>
        <w:tc>
          <w:tcPr>
            <w:tcW w:w="121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30,000.00</w:t>
            </w:r>
          </w:p>
        </w:tc>
        <w:tc>
          <w:tcPr>
            <w:tcW w:w="111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190,000.00</w:t>
            </w: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7" w:type="dxa"/>
          </w:tcPr>
          <w:p>
            <w:pPr>
              <w:spacing w:after="0" w:line="240" w:lineRule="auto"/>
              <w:rPr>
                <w:rFonts w:ascii="Times New Roman" w:hAnsi="Times New Roman" w:cs="Times New Roman"/>
                <w:color w:val="auto"/>
                <w:sz w:val="18"/>
                <w:szCs w:val="18"/>
                <w:highlight w:val="none"/>
                <w:lang w:val="en-US"/>
              </w:rPr>
            </w:pP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96.Construct 3No. 12-Unit  Market Stalls by Dec. 2023</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Nkwateng  </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Improved Economic Infrastructure </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p>
        </w:tc>
        <w:tc>
          <w:tcPr>
            <w:tcW w:w="1219" w:type="dxa"/>
          </w:tcPr>
          <w:p>
            <w:pPr>
              <w:spacing w:after="0" w:line="240" w:lineRule="auto"/>
              <w:rPr>
                <w:rFonts w:ascii="Times New Roman" w:hAnsi="Times New Roman" w:cs="Times New Roman"/>
                <w:color w:val="auto"/>
                <w:sz w:val="18"/>
                <w:szCs w:val="18"/>
                <w:highlight w:val="none"/>
                <w:lang w:val="en-US"/>
              </w:rPr>
            </w:pPr>
          </w:p>
        </w:tc>
        <w:tc>
          <w:tcPr>
            <w:tcW w:w="111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247,423.05</w:t>
            </w: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p>
        </w:tc>
        <w:tc>
          <w:tcPr>
            <w:tcW w:w="71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72"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DWD</w:t>
            </w:r>
          </w:p>
        </w:tc>
        <w:tc>
          <w:tcPr>
            <w:tcW w:w="7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97.Extension of market stalls by Dec. 2023</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 Amuana Praso</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Economic Infrastructure</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p>
        </w:tc>
        <w:tc>
          <w:tcPr>
            <w:tcW w:w="1219" w:type="dxa"/>
          </w:tcPr>
          <w:p>
            <w:pPr>
              <w:spacing w:after="0" w:line="240" w:lineRule="auto"/>
              <w:rPr>
                <w:rFonts w:ascii="Times New Roman" w:hAnsi="Times New Roman" w:cs="Times New Roman"/>
                <w:color w:val="auto"/>
                <w:sz w:val="18"/>
                <w:szCs w:val="18"/>
                <w:highlight w:val="none"/>
                <w:lang w:val="en-US"/>
              </w:rPr>
            </w:pPr>
          </w:p>
        </w:tc>
        <w:tc>
          <w:tcPr>
            <w:tcW w:w="111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100,000.00</w:t>
            </w: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p>
        </w:tc>
        <w:tc>
          <w:tcPr>
            <w:tcW w:w="71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72"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DWD</w:t>
            </w:r>
          </w:p>
        </w:tc>
        <w:tc>
          <w:tcPr>
            <w:tcW w:w="7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98. Extension of market stores by Dec. 2023</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 New Abirem</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Economic Infrastructure</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150,000.00</w:t>
            </w:r>
          </w:p>
        </w:tc>
        <w:tc>
          <w:tcPr>
            <w:tcW w:w="1219" w:type="dxa"/>
          </w:tcPr>
          <w:p>
            <w:pPr>
              <w:spacing w:after="0" w:line="240" w:lineRule="auto"/>
              <w:rPr>
                <w:rFonts w:ascii="Times New Roman" w:hAnsi="Times New Roman" w:cs="Times New Roman"/>
                <w:color w:val="auto"/>
                <w:sz w:val="18"/>
                <w:szCs w:val="18"/>
                <w:highlight w:val="none"/>
                <w:lang w:val="en-US"/>
              </w:rPr>
            </w:pP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p>
        </w:tc>
        <w:tc>
          <w:tcPr>
            <w:tcW w:w="71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72"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DWD</w:t>
            </w:r>
          </w:p>
        </w:tc>
        <w:tc>
          <w:tcPr>
            <w:tcW w:w="7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99.Construct 1No. 64 Lockable Stores by Dec. 2023</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 New Abirem</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Economic Infrastructure</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1,000,000.00</w:t>
            </w:r>
          </w:p>
        </w:tc>
        <w:tc>
          <w:tcPr>
            <w:tcW w:w="1219" w:type="dxa"/>
          </w:tcPr>
          <w:p>
            <w:pPr>
              <w:spacing w:after="0" w:line="240" w:lineRule="auto"/>
              <w:rPr>
                <w:rFonts w:ascii="Times New Roman" w:hAnsi="Times New Roman" w:cs="Times New Roman"/>
                <w:color w:val="auto"/>
                <w:sz w:val="18"/>
                <w:szCs w:val="18"/>
                <w:highlight w:val="none"/>
                <w:lang w:val="en-US"/>
              </w:rPr>
            </w:pP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p>
        </w:tc>
        <w:tc>
          <w:tcPr>
            <w:tcW w:w="71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72"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DWD</w:t>
            </w:r>
          </w:p>
        </w:tc>
        <w:tc>
          <w:tcPr>
            <w:tcW w:w="7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100.Construct 1No. 16 Lockable Stores (Phase I) By Dec. 2023</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Akim Afosu</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Economic Infrastructure</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400,000.00</w:t>
            </w:r>
          </w:p>
        </w:tc>
        <w:tc>
          <w:tcPr>
            <w:tcW w:w="1219" w:type="dxa"/>
          </w:tcPr>
          <w:p>
            <w:pPr>
              <w:spacing w:after="0" w:line="240" w:lineRule="auto"/>
              <w:rPr>
                <w:rFonts w:ascii="Times New Roman" w:hAnsi="Times New Roman" w:cs="Times New Roman"/>
                <w:color w:val="auto"/>
                <w:sz w:val="18"/>
                <w:szCs w:val="18"/>
                <w:highlight w:val="none"/>
                <w:lang w:val="en-US"/>
              </w:rPr>
            </w:pP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p>
        </w:tc>
        <w:tc>
          <w:tcPr>
            <w:tcW w:w="71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72"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DWD</w:t>
            </w:r>
          </w:p>
        </w:tc>
        <w:tc>
          <w:tcPr>
            <w:tcW w:w="75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101.Reshap selected feeder roads </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Improved road network and accessibility </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100,000.00</w:t>
            </w:r>
          </w:p>
        </w:tc>
        <w:tc>
          <w:tcPr>
            <w:tcW w:w="121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7" w:type="dxa"/>
          </w:tcPr>
          <w:p>
            <w:pPr>
              <w:spacing w:after="0" w:line="240" w:lineRule="auto"/>
              <w:rPr>
                <w:rFonts w:ascii="Times New Roman" w:hAnsi="Times New Roman" w:cs="Times New Roman"/>
                <w:color w:val="auto"/>
                <w:sz w:val="18"/>
                <w:szCs w:val="18"/>
                <w:highlight w:val="none"/>
                <w:lang w:val="en-US"/>
              </w:rPr>
            </w:pP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102.Construct “U” Drain</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Afosu </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drainage systems in the District</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30,000.00</w:t>
            </w:r>
          </w:p>
        </w:tc>
        <w:tc>
          <w:tcPr>
            <w:tcW w:w="1219" w:type="dxa"/>
          </w:tcPr>
          <w:p>
            <w:pPr>
              <w:spacing w:after="0" w:line="240" w:lineRule="auto"/>
              <w:rPr>
                <w:rFonts w:ascii="Times New Roman" w:hAnsi="Times New Roman" w:cs="Times New Roman"/>
                <w:color w:val="auto"/>
                <w:sz w:val="18"/>
                <w:szCs w:val="18"/>
                <w:highlight w:val="none"/>
                <w:lang w:val="en-US"/>
              </w:rPr>
            </w:pP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7" w:type="dxa"/>
          </w:tcPr>
          <w:p>
            <w:pPr>
              <w:spacing w:after="0" w:line="240" w:lineRule="auto"/>
              <w:rPr>
                <w:rFonts w:ascii="Times New Roman" w:hAnsi="Times New Roman" w:cs="Times New Roman"/>
                <w:color w:val="auto"/>
                <w:sz w:val="18"/>
                <w:szCs w:val="18"/>
                <w:highlight w:val="none"/>
                <w:lang w:val="en-US"/>
              </w:rPr>
            </w:pP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103. Installation of road signs and speed ramps </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District wide </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road network and accessibility</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40,000.00</w:t>
            </w:r>
          </w:p>
        </w:tc>
        <w:tc>
          <w:tcPr>
            <w:tcW w:w="121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p>
        </w:tc>
        <w:tc>
          <w:tcPr>
            <w:tcW w:w="71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Infrastructure delivery and management</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103.Construct police station. </w:t>
            </w:r>
            <w:r>
              <w:rPr>
                <w:rFonts w:ascii="Times New Roman" w:hAnsi="Times New Roman" w:cs="Times New Roman"/>
                <w:color w:val="auto"/>
                <w:sz w:val="18"/>
                <w:szCs w:val="18"/>
                <w:highlight w:val="none"/>
                <w:lang w:val="en-GB"/>
              </w:rPr>
              <w:t>emphasis on women by Dec. 2023</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Ntronang</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 security services</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p>
        </w:tc>
        <w:tc>
          <w:tcPr>
            <w:tcW w:w="121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27,943.44</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ind w:right="-264"/>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p>
        </w:tc>
        <w:tc>
          <w:tcPr>
            <w:tcW w:w="71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Infrastructure delivery and management</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104.Complete police quarters </w:t>
            </w:r>
            <w:r>
              <w:rPr>
                <w:rFonts w:ascii="Times New Roman" w:hAnsi="Times New Roman" w:cs="Times New Roman"/>
                <w:color w:val="auto"/>
                <w:sz w:val="18"/>
                <w:szCs w:val="18"/>
                <w:highlight w:val="none"/>
                <w:lang w:val="en-GB"/>
              </w:rPr>
              <w:t>emphasis on women by Dec. 2023</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Akoase</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 security services by </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p>
        </w:tc>
        <w:tc>
          <w:tcPr>
            <w:tcW w:w="121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149,668.00</w:t>
            </w: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p>
        </w:tc>
        <w:tc>
          <w:tcPr>
            <w:tcW w:w="71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6" w:hRule="atLeast"/>
        </w:trPr>
        <w:tc>
          <w:tcPr>
            <w:tcW w:w="130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Infrastructure delivery and management </w:t>
            </w:r>
          </w:p>
        </w:tc>
        <w:tc>
          <w:tcPr>
            <w:tcW w:w="82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Public works, rural housing and water management </w:t>
            </w:r>
          </w:p>
        </w:tc>
        <w:tc>
          <w:tcPr>
            <w:tcW w:w="120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105.Convert warehouse into meat shop </w:t>
            </w:r>
            <w:r>
              <w:rPr>
                <w:rFonts w:ascii="Times New Roman" w:hAnsi="Times New Roman" w:cs="Times New Roman"/>
                <w:color w:val="auto"/>
                <w:sz w:val="18"/>
                <w:szCs w:val="18"/>
                <w:highlight w:val="none"/>
                <w:lang w:val="en-GB"/>
              </w:rPr>
              <w:t>emphasis on women</w:t>
            </w:r>
          </w:p>
        </w:tc>
        <w:tc>
          <w:tcPr>
            <w:tcW w:w="117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New Abirem</w:t>
            </w:r>
          </w:p>
        </w:tc>
        <w:tc>
          <w:tcPr>
            <w:tcW w:w="4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955"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food hygiene in the District</w:t>
            </w:r>
          </w:p>
        </w:tc>
        <w:tc>
          <w:tcPr>
            <w:tcW w:w="552" w:type="dxa"/>
          </w:tcPr>
          <w:p>
            <w:pPr>
              <w:spacing w:after="0" w:line="240" w:lineRule="auto"/>
              <w:rPr>
                <w:rFonts w:ascii="Times New Roman" w:hAnsi="Times New Roman" w:cs="Times New Roman"/>
                <w:color w:val="auto"/>
                <w:sz w:val="18"/>
                <w:szCs w:val="18"/>
                <w:highlight w:val="none"/>
                <w:lang w:val="en-US"/>
              </w:rPr>
            </w:pPr>
          </w:p>
        </w:tc>
        <w:tc>
          <w:tcPr>
            <w:tcW w:w="115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25,000.00</w:t>
            </w:r>
          </w:p>
        </w:tc>
        <w:tc>
          <w:tcPr>
            <w:tcW w:w="1219" w:type="dxa"/>
          </w:tcPr>
          <w:p>
            <w:pPr>
              <w:spacing w:after="0" w:line="240" w:lineRule="auto"/>
              <w:rPr>
                <w:rFonts w:ascii="Times New Roman" w:hAnsi="Times New Roman" w:cs="Times New Roman"/>
                <w:color w:val="auto"/>
                <w:sz w:val="18"/>
                <w:szCs w:val="18"/>
                <w:highlight w:val="none"/>
                <w:lang w:val="en-US"/>
              </w:rPr>
            </w:pPr>
          </w:p>
        </w:tc>
        <w:tc>
          <w:tcPr>
            <w:tcW w:w="1116" w:type="dxa"/>
          </w:tcPr>
          <w:p>
            <w:pPr>
              <w:spacing w:after="0" w:line="240" w:lineRule="auto"/>
              <w:rPr>
                <w:rFonts w:ascii="Times New Roman" w:hAnsi="Times New Roman" w:cs="Times New Roman"/>
                <w:color w:val="auto"/>
                <w:sz w:val="18"/>
                <w:szCs w:val="18"/>
                <w:highlight w:val="none"/>
                <w:lang w:val="en-US"/>
              </w:rPr>
            </w:pPr>
          </w:p>
        </w:tc>
        <w:tc>
          <w:tcPr>
            <w:tcW w:w="454" w:type="dxa"/>
          </w:tcPr>
          <w:p>
            <w:pPr>
              <w:spacing w:after="0" w:line="240" w:lineRule="auto"/>
              <w:rPr>
                <w:rFonts w:ascii="Times New Roman" w:hAnsi="Times New Roman" w:cs="Times New Roman"/>
                <w:color w:val="auto"/>
                <w:sz w:val="18"/>
                <w:szCs w:val="18"/>
                <w:highlight w:val="none"/>
                <w:lang w:val="en-US"/>
              </w:rPr>
            </w:pPr>
          </w:p>
        </w:tc>
        <w:tc>
          <w:tcPr>
            <w:tcW w:w="631" w:type="dxa"/>
          </w:tcPr>
          <w:p>
            <w:pPr>
              <w:spacing w:after="0" w:line="240" w:lineRule="auto"/>
              <w:rPr>
                <w:rFonts w:ascii="Times New Roman" w:hAnsi="Times New Roman" w:cs="Times New Roman"/>
                <w:color w:val="auto"/>
                <w:sz w:val="18"/>
                <w:szCs w:val="18"/>
                <w:highlight w:val="none"/>
                <w:lang w:val="en-US"/>
              </w:rPr>
            </w:pPr>
          </w:p>
        </w:tc>
        <w:tc>
          <w:tcPr>
            <w:tcW w:w="543"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17" w:type="dxa"/>
          </w:tcPr>
          <w:p>
            <w:pPr>
              <w:spacing w:after="0" w:line="240" w:lineRule="auto"/>
              <w:rPr>
                <w:rFonts w:ascii="Times New Roman" w:hAnsi="Times New Roman" w:cs="Times New Roman"/>
                <w:color w:val="auto"/>
                <w:sz w:val="18"/>
                <w:szCs w:val="18"/>
                <w:highlight w:val="none"/>
                <w:lang w:val="en-US"/>
              </w:rPr>
            </w:pPr>
          </w:p>
        </w:tc>
        <w:tc>
          <w:tcPr>
            <w:tcW w:w="77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DWD</w:t>
            </w:r>
          </w:p>
        </w:tc>
        <w:tc>
          <w:tcPr>
            <w:tcW w:w="75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12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699"/>
        <w:gridCol w:w="1136"/>
        <w:gridCol w:w="1361"/>
        <w:gridCol w:w="897"/>
        <w:gridCol w:w="447"/>
        <w:gridCol w:w="447"/>
        <w:gridCol w:w="447"/>
        <w:gridCol w:w="447"/>
        <w:gridCol w:w="1361"/>
        <w:gridCol w:w="587"/>
        <w:gridCol w:w="846"/>
        <w:gridCol w:w="936"/>
        <w:gridCol w:w="776"/>
        <w:gridCol w:w="456"/>
        <w:gridCol w:w="517"/>
        <w:gridCol w:w="577"/>
        <w:gridCol w:w="559"/>
        <w:gridCol w:w="897"/>
        <w:gridCol w:w="1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587" w:type="dxa"/>
          </w:tcPr>
          <w:p>
            <w:pPr>
              <w:spacing w:after="0" w:line="240" w:lineRule="auto"/>
              <w:rPr>
                <w:rFonts w:ascii="Times New Roman" w:hAnsi="Times New Roman" w:cs="Times New Roman"/>
                <w:b/>
                <w:color w:val="auto"/>
                <w:sz w:val="18"/>
                <w:szCs w:val="18"/>
                <w:highlight w:val="none"/>
                <w:lang w:val="en-GB"/>
              </w:rPr>
            </w:pPr>
          </w:p>
        </w:tc>
        <w:tc>
          <w:tcPr>
            <w:tcW w:w="14533" w:type="dxa"/>
            <w:gridSpan w:val="19"/>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Build safe and well planned communities whiles protecting the natural environment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1286"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13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36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897"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88"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36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Output</w:t>
            </w:r>
          </w:p>
        </w:tc>
        <w:tc>
          <w:tcPr>
            <w:tcW w:w="4231"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371"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689"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Implementing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institution /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286"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136" w:type="dxa"/>
            <w:vMerge w:val="continue"/>
          </w:tcPr>
          <w:p>
            <w:pPr>
              <w:spacing w:after="0" w:line="240" w:lineRule="auto"/>
              <w:rPr>
                <w:rFonts w:ascii="Times New Roman" w:hAnsi="Times New Roman" w:cs="Times New Roman"/>
                <w:b/>
                <w:color w:val="auto"/>
                <w:sz w:val="18"/>
                <w:szCs w:val="18"/>
                <w:highlight w:val="none"/>
                <w:lang w:val="en-GB"/>
              </w:rPr>
            </w:pPr>
          </w:p>
        </w:tc>
        <w:tc>
          <w:tcPr>
            <w:tcW w:w="1361" w:type="dxa"/>
            <w:vMerge w:val="continue"/>
          </w:tcPr>
          <w:p>
            <w:pPr>
              <w:spacing w:after="0" w:line="240" w:lineRule="auto"/>
              <w:rPr>
                <w:rFonts w:ascii="Times New Roman" w:hAnsi="Times New Roman" w:cs="Times New Roman"/>
                <w:b/>
                <w:color w:val="auto"/>
                <w:sz w:val="18"/>
                <w:szCs w:val="18"/>
                <w:highlight w:val="none"/>
                <w:lang w:val="en-GB"/>
              </w:rPr>
            </w:pPr>
          </w:p>
        </w:tc>
        <w:tc>
          <w:tcPr>
            <w:tcW w:w="897" w:type="dxa"/>
            <w:vMerge w:val="continue"/>
          </w:tcPr>
          <w:p>
            <w:pPr>
              <w:spacing w:after="0" w:line="240" w:lineRule="auto"/>
              <w:rPr>
                <w:rFonts w:ascii="Times New Roman" w:hAnsi="Times New Roman" w:cs="Times New Roman"/>
                <w:b/>
                <w:color w:val="auto"/>
                <w:sz w:val="18"/>
                <w:szCs w:val="18"/>
                <w:highlight w:val="none"/>
                <w:lang w:val="en-GB"/>
              </w:rPr>
            </w:pP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361" w:type="dxa"/>
            <w:vMerge w:val="continue"/>
          </w:tcPr>
          <w:p>
            <w:pPr>
              <w:spacing w:after="0" w:line="240" w:lineRule="auto"/>
              <w:rPr>
                <w:rFonts w:ascii="Times New Roman" w:hAnsi="Times New Roman" w:cs="Times New Roman"/>
                <w:b/>
                <w:color w:val="auto"/>
                <w:sz w:val="18"/>
                <w:szCs w:val="18"/>
                <w:highlight w:val="none"/>
                <w:lang w:val="en-GB"/>
              </w:rPr>
            </w:pPr>
          </w:p>
        </w:tc>
        <w:tc>
          <w:tcPr>
            <w:tcW w:w="58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84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93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63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67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699"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Ong</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oing </w:t>
            </w:r>
          </w:p>
        </w:tc>
        <w:tc>
          <w:tcPr>
            <w:tcW w:w="89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792" w:type="dxa"/>
          </w:tcPr>
          <w:p>
            <w:pPr>
              <w:spacing w:after="0" w:line="240" w:lineRule="auto"/>
              <w:rPr>
                <w:rFonts w:ascii="Times New Roman" w:hAnsi="Times New Roman" w:cs="Times New Roman"/>
                <w:b/>
                <w:color w:val="auto"/>
                <w:sz w:val="18"/>
                <w:szCs w:val="20"/>
                <w:highlight w:val="none"/>
                <w:lang w:val="en-GB"/>
              </w:rPr>
            </w:pPr>
            <w:r>
              <w:rPr>
                <w:rFonts w:ascii="Times New Roman" w:hAnsi="Times New Roman" w:cs="Times New Roman"/>
                <w:b/>
                <w:color w:val="auto"/>
                <w:sz w:val="18"/>
                <w:szCs w:val="20"/>
                <w:highlight w:val="none"/>
                <w:lang w:val="en-GB"/>
              </w:rPr>
              <w:t>Collabo</w:t>
            </w:r>
          </w:p>
          <w:p>
            <w:pPr>
              <w:spacing w:after="0" w:line="240" w:lineRule="auto"/>
              <w:rPr>
                <w:rFonts w:ascii="Times New Roman" w:hAnsi="Times New Roman" w:cs="Times New Roman"/>
                <w:b/>
                <w:color w:val="auto"/>
                <w:sz w:val="18"/>
                <w:szCs w:val="20"/>
                <w:highlight w:val="none"/>
                <w:lang w:val="en-GB"/>
              </w:rPr>
            </w:pPr>
            <w:r>
              <w:rPr>
                <w:rFonts w:ascii="Times New Roman" w:hAnsi="Times New Roman" w:cs="Times New Roman"/>
                <w:b/>
                <w:color w:val="auto"/>
                <w:sz w:val="18"/>
                <w:szCs w:val="20"/>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8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Environmental management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Disaster prevention and management </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106.Organize education on domestic/bush fires campaign by Dec 2023</w:t>
            </w:r>
          </w:p>
        </w:tc>
        <w:tc>
          <w:tcPr>
            <w:tcW w:w="89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Reduced incidence of domestic/bush fire in the District</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8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630" w:type="dxa"/>
          </w:tcPr>
          <w:p>
            <w:pPr>
              <w:spacing w:after="0" w:line="240" w:lineRule="auto"/>
              <w:rPr>
                <w:rFonts w:ascii="Times New Roman" w:hAnsi="Times New Roman" w:cs="Times New Roman"/>
                <w:color w:val="auto"/>
                <w:sz w:val="18"/>
                <w:szCs w:val="18"/>
                <w:highlight w:val="none"/>
                <w:lang w:val="en-US"/>
              </w:rPr>
            </w:pPr>
          </w:p>
        </w:tc>
        <w:tc>
          <w:tcPr>
            <w:tcW w:w="672" w:type="dxa"/>
          </w:tcPr>
          <w:p>
            <w:pPr>
              <w:spacing w:after="0" w:line="240" w:lineRule="auto"/>
              <w:rPr>
                <w:rFonts w:ascii="Times New Roman" w:hAnsi="Times New Roman" w:cs="Times New Roman"/>
                <w:color w:val="auto"/>
                <w:sz w:val="18"/>
                <w:szCs w:val="18"/>
                <w:highlight w:val="none"/>
                <w:lang w:val="en-US"/>
              </w:rPr>
            </w:pPr>
          </w:p>
        </w:tc>
        <w:tc>
          <w:tcPr>
            <w:tcW w:w="69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89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NADMO</w:t>
            </w:r>
          </w:p>
        </w:tc>
        <w:tc>
          <w:tcPr>
            <w:tcW w:w="792" w:type="dxa"/>
          </w:tcPr>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GNFS</w:t>
            </w: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BNDA</w:t>
            </w:r>
          </w:p>
          <w:p>
            <w:pPr>
              <w:spacing w:after="0" w:line="240" w:lineRule="auto"/>
              <w:jc w:val="center"/>
              <w:rPr>
                <w:rFonts w:ascii="Times New Roman" w:hAnsi="Times New Roman" w:cs="Times New Roman"/>
                <w:color w:val="auto"/>
                <w:sz w:val="20"/>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8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Environmental management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Disaster prevention and management </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107.Organize public education on disaster prevention-(flooding, rain/windstorm, epidemics, erosion and land degradation) by December 2023</w:t>
            </w:r>
          </w:p>
        </w:tc>
        <w:tc>
          <w:tcPr>
            <w:tcW w:w="89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Reduced incidence of flooding, rain/windstorm, epidemics, erosion and land degradation in the District</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846"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630" w:type="dxa"/>
          </w:tcPr>
          <w:p>
            <w:pPr>
              <w:spacing w:after="0" w:line="240" w:lineRule="auto"/>
              <w:rPr>
                <w:rFonts w:ascii="Times New Roman" w:hAnsi="Times New Roman" w:cs="Times New Roman"/>
                <w:color w:val="auto"/>
                <w:sz w:val="18"/>
                <w:szCs w:val="18"/>
                <w:highlight w:val="none"/>
                <w:lang w:val="en-US"/>
              </w:rPr>
            </w:pPr>
          </w:p>
        </w:tc>
        <w:tc>
          <w:tcPr>
            <w:tcW w:w="672" w:type="dxa"/>
          </w:tcPr>
          <w:p>
            <w:pPr>
              <w:spacing w:after="0" w:line="240" w:lineRule="auto"/>
              <w:rPr>
                <w:rFonts w:ascii="Times New Roman" w:hAnsi="Times New Roman" w:cs="Times New Roman"/>
                <w:color w:val="auto"/>
                <w:sz w:val="18"/>
                <w:szCs w:val="18"/>
                <w:highlight w:val="none"/>
                <w:lang w:val="en-US"/>
              </w:rPr>
            </w:pPr>
          </w:p>
        </w:tc>
        <w:tc>
          <w:tcPr>
            <w:tcW w:w="69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897" w:type="dxa"/>
          </w:tcPr>
          <w:p>
            <w:pPr>
              <w:spacing w:after="0" w:line="240" w:lineRule="auto"/>
              <w:jc w:val="center"/>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NADMO</w:t>
            </w:r>
          </w:p>
          <w:p>
            <w:pPr>
              <w:spacing w:after="0" w:line="240" w:lineRule="auto"/>
              <w:rPr>
                <w:rFonts w:ascii="Times New Roman" w:hAnsi="Times New Roman" w:cs="Times New Roman"/>
                <w:color w:val="auto"/>
                <w:sz w:val="18"/>
                <w:szCs w:val="18"/>
                <w:highlight w:val="none"/>
                <w:lang w:val="en-US"/>
              </w:rPr>
            </w:pPr>
          </w:p>
        </w:tc>
        <w:tc>
          <w:tcPr>
            <w:tcW w:w="792" w:type="dxa"/>
          </w:tcPr>
          <w:p>
            <w:pPr>
              <w:spacing w:after="0" w:line="240" w:lineRule="auto"/>
              <w:rPr>
                <w:rFonts w:ascii="Times New Roman" w:hAnsi="Times New Roman" w:cs="Times New Roman"/>
                <w:color w:val="auto"/>
                <w:sz w:val="20"/>
                <w:highlight w:val="none"/>
                <w:lang w:val="en-US"/>
              </w:rPr>
            </w:pP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BNDA</w:t>
            </w: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NEWMONT</w:t>
            </w: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DONORS</w:t>
            </w:r>
          </w:p>
          <w:p>
            <w:pPr>
              <w:spacing w:after="0" w:line="240" w:lineRule="auto"/>
              <w:jc w:val="center"/>
              <w:rPr>
                <w:rFonts w:ascii="Times New Roman" w:hAnsi="Times New Roman" w:cs="Times New Roman"/>
                <w:color w:val="auto"/>
                <w:sz w:val="20"/>
                <w:highlight w:val="none"/>
                <w:lang w:val="en-US"/>
              </w:rPr>
            </w:pPr>
          </w:p>
          <w:p>
            <w:pPr>
              <w:spacing w:after="0" w:line="240" w:lineRule="auto"/>
              <w:rPr>
                <w:rFonts w:ascii="Times New Roman" w:hAnsi="Times New Roman" w:cs="Times New Roman"/>
                <w:color w:val="auto"/>
                <w:sz w:val="20"/>
                <w:highlight w:val="none"/>
                <w:lang w:val="en-US"/>
              </w:rPr>
            </w:pPr>
          </w:p>
          <w:p>
            <w:pPr>
              <w:spacing w:after="0" w:line="240" w:lineRule="auto"/>
              <w:jc w:val="center"/>
              <w:rPr>
                <w:rFonts w:ascii="Times New Roman" w:hAnsi="Times New Roman" w:cs="Times New Roman"/>
                <w:color w:val="auto"/>
                <w:sz w:val="20"/>
                <w:highlight w:val="none"/>
                <w:lang w:val="en-US"/>
              </w:rPr>
            </w:pPr>
          </w:p>
          <w:p>
            <w:pPr>
              <w:spacing w:after="0" w:line="240" w:lineRule="auto"/>
              <w:jc w:val="center"/>
              <w:rPr>
                <w:rFonts w:ascii="Times New Roman" w:hAnsi="Times New Roman" w:cs="Times New Roman"/>
                <w:color w:val="auto"/>
                <w:sz w:val="20"/>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8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Environmental management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Disaster prevention and management </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108. Assess and register disaster incidents and victims.</w:t>
            </w:r>
          </w:p>
        </w:tc>
        <w:tc>
          <w:tcPr>
            <w:tcW w:w="89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International day for disaster reduction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84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630" w:type="dxa"/>
          </w:tcPr>
          <w:p>
            <w:pPr>
              <w:spacing w:after="0" w:line="240" w:lineRule="auto"/>
              <w:rPr>
                <w:rFonts w:ascii="Times New Roman" w:hAnsi="Times New Roman" w:cs="Times New Roman"/>
                <w:color w:val="auto"/>
                <w:sz w:val="18"/>
                <w:szCs w:val="18"/>
                <w:highlight w:val="none"/>
                <w:lang w:val="en-US"/>
              </w:rPr>
            </w:pPr>
          </w:p>
        </w:tc>
        <w:tc>
          <w:tcPr>
            <w:tcW w:w="672" w:type="dxa"/>
          </w:tcPr>
          <w:p>
            <w:pPr>
              <w:spacing w:after="0" w:line="240" w:lineRule="auto"/>
              <w:rPr>
                <w:rFonts w:ascii="Times New Roman" w:hAnsi="Times New Roman" w:cs="Times New Roman"/>
                <w:color w:val="auto"/>
                <w:sz w:val="18"/>
                <w:szCs w:val="18"/>
                <w:highlight w:val="none"/>
                <w:lang w:val="en-US"/>
              </w:rPr>
            </w:pPr>
          </w:p>
        </w:tc>
        <w:tc>
          <w:tcPr>
            <w:tcW w:w="69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897" w:type="dxa"/>
          </w:tcPr>
          <w:p>
            <w:pPr>
              <w:spacing w:after="0" w:line="240" w:lineRule="auto"/>
              <w:jc w:val="center"/>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NADMO</w:t>
            </w:r>
          </w:p>
          <w:p>
            <w:pPr>
              <w:spacing w:after="0" w:line="240" w:lineRule="auto"/>
              <w:rPr>
                <w:rFonts w:ascii="Times New Roman" w:hAnsi="Times New Roman" w:cs="Times New Roman"/>
                <w:color w:val="auto"/>
                <w:sz w:val="18"/>
                <w:szCs w:val="18"/>
                <w:highlight w:val="none"/>
                <w:lang w:val="en-US"/>
              </w:rPr>
            </w:pPr>
          </w:p>
        </w:tc>
        <w:tc>
          <w:tcPr>
            <w:tcW w:w="792" w:type="dxa"/>
          </w:tcPr>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8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Environmental management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Disaster prevention and management </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109.Distribute relief items.</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Relief items distributed</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846"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630" w:type="dxa"/>
          </w:tcPr>
          <w:p>
            <w:pPr>
              <w:spacing w:after="0" w:line="240" w:lineRule="auto"/>
              <w:rPr>
                <w:rFonts w:ascii="Times New Roman" w:hAnsi="Times New Roman" w:cs="Times New Roman"/>
                <w:color w:val="auto"/>
                <w:sz w:val="18"/>
                <w:szCs w:val="18"/>
                <w:highlight w:val="none"/>
                <w:lang w:val="en-US"/>
              </w:rPr>
            </w:pPr>
          </w:p>
        </w:tc>
        <w:tc>
          <w:tcPr>
            <w:tcW w:w="672" w:type="dxa"/>
          </w:tcPr>
          <w:p>
            <w:pPr>
              <w:spacing w:after="0" w:line="240" w:lineRule="auto"/>
              <w:rPr>
                <w:rFonts w:ascii="Times New Roman" w:hAnsi="Times New Roman" w:cs="Times New Roman"/>
                <w:color w:val="auto"/>
                <w:sz w:val="18"/>
                <w:szCs w:val="18"/>
                <w:highlight w:val="none"/>
                <w:lang w:val="en-US"/>
              </w:rPr>
            </w:pPr>
          </w:p>
        </w:tc>
        <w:tc>
          <w:tcPr>
            <w:tcW w:w="699"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Regional NADMO</w:t>
            </w:r>
          </w:p>
        </w:tc>
        <w:tc>
          <w:tcPr>
            <w:tcW w:w="792" w:type="dxa"/>
          </w:tcPr>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86" w:type="dxa"/>
            <w:gridSpan w:val="2"/>
            <w:shd w:val="clear" w:color="auto" w:fill="FFFFFF" w:themeFill="background1"/>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Environmental management </w:t>
            </w:r>
          </w:p>
        </w:tc>
        <w:tc>
          <w:tcPr>
            <w:tcW w:w="1136" w:type="dxa"/>
            <w:shd w:val="clear" w:color="auto" w:fill="FFFFFF" w:themeFill="background1"/>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Disaster prevention and management </w:t>
            </w:r>
          </w:p>
        </w:tc>
        <w:tc>
          <w:tcPr>
            <w:tcW w:w="1361"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110.Plant economic trees- (Akesia tree,</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Nim tree,</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Teak tree) by Dec. 2023</w:t>
            </w:r>
          </w:p>
        </w:tc>
        <w:tc>
          <w:tcPr>
            <w:tcW w:w="89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Economic and ornamental plants planted</w:t>
            </w:r>
          </w:p>
        </w:tc>
        <w:tc>
          <w:tcPr>
            <w:tcW w:w="58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84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4,500.00</w:t>
            </w:r>
          </w:p>
        </w:tc>
        <w:tc>
          <w:tcPr>
            <w:tcW w:w="93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77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45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30"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72"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99"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897" w:type="dxa"/>
            <w:shd w:val="clear" w:color="auto" w:fill="FFFFFF" w:themeFill="background1"/>
          </w:tcPr>
          <w:p>
            <w:pPr>
              <w:spacing w:after="0" w:line="240" w:lineRule="auto"/>
              <w:jc w:val="center"/>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NADMO</w:t>
            </w:r>
          </w:p>
          <w:p>
            <w:pPr>
              <w:spacing w:after="0" w:line="240" w:lineRule="auto"/>
              <w:jc w:val="center"/>
              <w:rPr>
                <w:rFonts w:ascii="Times New Roman" w:hAnsi="Times New Roman" w:cs="Times New Roman"/>
                <w:color w:val="auto"/>
                <w:sz w:val="18"/>
                <w:szCs w:val="18"/>
                <w:highlight w:val="none"/>
                <w:lang w:val="en-US"/>
              </w:rPr>
            </w:pPr>
          </w:p>
        </w:tc>
        <w:tc>
          <w:tcPr>
            <w:tcW w:w="792" w:type="dxa"/>
            <w:shd w:val="clear" w:color="auto" w:fill="FFFFFF" w:themeFill="background1"/>
          </w:tcPr>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MOFA</w:t>
            </w: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BNDA</w:t>
            </w: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NEWMONT</w:t>
            </w: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FORESTRY.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86" w:type="dxa"/>
            <w:gridSpan w:val="2"/>
            <w:shd w:val="clear" w:color="auto" w:fill="FFFFFF" w:themeFill="background1"/>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Environmental management </w:t>
            </w:r>
          </w:p>
        </w:tc>
        <w:tc>
          <w:tcPr>
            <w:tcW w:w="1136" w:type="dxa"/>
            <w:shd w:val="clear" w:color="auto" w:fill="FFFFFF" w:themeFill="background1"/>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Disaster prevention and management </w:t>
            </w:r>
          </w:p>
        </w:tc>
        <w:tc>
          <w:tcPr>
            <w:tcW w:w="1361"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111.Support climate change and environmental protection activities by Dec. 2023</w:t>
            </w:r>
          </w:p>
        </w:tc>
        <w:tc>
          <w:tcPr>
            <w:tcW w:w="89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Awareness created on Environmental and Climate change activities</w:t>
            </w:r>
          </w:p>
        </w:tc>
        <w:tc>
          <w:tcPr>
            <w:tcW w:w="58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84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93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7,500.00</w:t>
            </w:r>
          </w:p>
        </w:tc>
        <w:tc>
          <w:tcPr>
            <w:tcW w:w="77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45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30"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72"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99"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89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p>
            <w:pPr>
              <w:spacing w:after="0" w:line="240" w:lineRule="auto"/>
              <w:jc w:val="center"/>
              <w:rPr>
                <w:rFonts w:ascii="Times New Roman" w:hAnsi="Times New Roman" w:cs="Times New Roman"/>
                <w:color w:val="auto"/>
                <w:sz w:val="18"/>
                <w:szCs w:val="18"/>
                <w:highlight w:val="none"/>
                <w:lang w:val="en-US"/>
              </w:rPr>
            </w:pPr>
          </w:p>
          <w:p>
            <w:pPr>
              <w:spacing w:after="0" w:line="240" w:lineRule="auto"/>
              <w:jc w:val="center"/>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NADMO</w:t>
            </w:r>
          </w:p>
          <w:p>
            <w:pPr>
              <w:spacing w:after="0" w:line="240" w:lineRule="auto"/>
              <w:jc w:val="center"/>
              <w:rPr>
                <w:rFonts w:ascii="Times New Roman" w:hAnsi="Times New Roman" w:cs="Times New Roman"/>
                <w:color w:val="auto"/>
                <w:sz w:val="18"/>
                <w:szCs w:val="18"/>
                <w:highlight w:val="none"/>
                <w:lang w:val="en-US"/>
              </w:rPr>
            </w:pPr>
          </w:p>
        </w:tc>
        <w:tc>
          <w:tcPr>
            <w:tcW w:w="792" w:type="dxa"/>
            <w:shd w:val="clear" w:color="auto" w:fill="FFFFFF" w:themeFill="background1"/>
          </w:tcPr>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BNDA</w:t>
            </w: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MOFA</w:t>
            </w:r>
          </w:p>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NEWMONT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86" w:type="dxa"/>
            <w:gridSpan w:val="2"/>
            <w:shd w:val="clear" w:color="auto" w:fill="FFFFFF" w:themeFill="background1"/>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Environmental management </w:t>
            </w:r>
          </w:p>
        </w:tc>
        <w:tc>
          <w:tcPr>
            <w:tcW w:w="1136" w:type="dxa"/>
            <w:shd w:val="clear" w:color="auto" w:fill="FFFFFF" w:themeFill="background1"/>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Disaster prevention and management </w:t>
            </w:r>
          </w:p>
        </w:tc>
        <w:tc>
          <w:tcPr>
            <w:tcW w:w="1361"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112.Train Disaster Volunteer Group in communities (DVGs) by Dec. 2023</w:t>
            </w:r>
          </w:p>
        </w:tc>
        <w:tc>
          <w:tcPr>
            <w:tcW w:w="89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361"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Disaster Volunteer Groups equipped with Knowledge and Skills</w:t>
            </w:r>
          </w:p>
        </w:tc>
        <w:tc>
          <w:tcPr>
            <w:tcW w:w="587"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84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2,500.00</w:t>
            </w:r>
          </w:p>
        </w:tc>
        <w:tc>
          <w:tcPr>
            <w:tcW w:w="93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77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456"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30"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72"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p>
        </w:tc>
        <w:tc>
          <w:tcPr>
            <w:tcW w:w="699"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897" w:type="dxa"/>
            <w:shd w:val="clear" w:color="auto" w:fill="FFFFFF" w:themeFill="background1"/>
          </w:tcPr>
          <w:p>
            <w:pPr>
              <w:spacing w:after="0" w:line="240" w:lineRule="auto"/>
              <w:jc w:val="center"/>
              <w:rPr>
                <w:rFonts w:ascii="Times New Roman" w:hAnsi="Times New Roman" w:cs="Times New Roman"/>
                <w:color w:val="auto"/>
                <w:sz w:val="18"/>
                <w:szCs w:val="18"/>
                <w:highlight w:val="none"/>
                <w:lang w:val="en-US"/>
              </w:rPr>
            </w:pPr>
          </w:p>
          <w:p>
            <w:pPr>
              <w:spacing w:after="0" w:line="240" w:lineRule="auto"/>
              <w:jc w:val="center"/>
              <w:rPr>
                <w:rFonts w:ascii="Times New Roman" w:hAnsi="Times New Roman" w:cs="Times New Roman"/>
                <w:color w:val="auto"/>
                <w:sz w:val="18"/>
                <w:szCs w:val="18"/>
                <w:highlight w:val="none"/>
                <w:lang w:val="en-US"/>
              </w:rPr>
            </w:pPr>
          </w:p>
          <w:p>
            <w:pPr>
              <w:spacing w:after="0" w:line="240" w:lineRule="auto"/>
              <w:jc w:val="center"/>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NADMO</w:t>
            </w:r>
          </w:p>
          <w:p>
            <w:pPr>
              <w:spacing w:after="0" w:line="240" w:lineRule="auto"/>
              <w:jc w:val="center"/>
              <w:rPr>
                <w:rFonts w:ascii="Times New Roman" w:hAnsi="Times New Roman" w:cs="Times New Roman"/>
                <w:color w:val="auto"/>
                <w:sz w:val="18"/>
                <w:szCs w:val="18"/>
                <w:highlight w:val="none"/>
                <w:lang w:val="en-US"/>
              </w:rPr>
            </w:pPr>
          </w:p>
        </w:tc>
        <w:tc>
          <w:tcPr>
            <w:tcW w:w="792" w:type="dxa"/>
            <w:shd w:val="clear" w:color="auto" w:fill="FFFFFF" w:themeFill="background1"/>
          </w:tcPr>
          <w:p>
            <w:pPr>
              <w:spacing w:after="0" w:line="240" w:lineRule="auto"/>
              <w:jc w:val="center"/>
              <w:rPr>
                <w:rFonts w:ascii="Times New Roman" w:hAnsi="Times New Roman" w:cs="Times New Roman"/>
                <w:color w:val="auto"/>
                <w:sz w:val="20"/>
                <w:highlight w:val="none"/>
                <w:lang w:val="en-US"/>
              </w:rPr>
            </w:pPr>
            <w:r>
              <w:rPr>
                <w:rFonts w:ascii="Times New Roman" w:hAnsi="Times New Roman" w:cs="Times New Roman"/>
                <w:color w:val="auto"/>
                <w:sz w:val="20"/>
                <w:highlight w:val="none"/>
                <w:lang w:val="en-US"/>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30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491"/>
        <w:gridCol w:w="1371"/>
        <w:gridCol w:w="1571"/>
        <w:gridCol w:w="932"/>
        <w:gridCol w:w="448"/>
        <w:gridCol w:w="448"/>
        <w:gridCol w:w="448"/>
        <w:gridCol w:w="448"/>
        <w:gridCol w:w="1060"/>
        <w:gridCol w:w="724"/>
        <w:gridCol w:w="990"/>
        <w:gridCol w:w="914"/>
        <w:gridCol w:w="724"/>
        <w:gridCol w:w="542"/>
        <w:gridCol w:w="520"/>
        <w:gridCol w:w="578"/>
        <w:gridCol w:w="617"/>
        <w:gridCol w:w="11"/>
        <w:gridCol w:w="766"/>
        <w:gridCol w:w="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79" w:type="dxa"/>
          </w:tcPr>
          <w:p>
            <w:pPr>
              <w:spacing w:after="0" w:line="240" w:lineRule="auto"/>
              <w:rPr>
                <w:rFonts w:ascii="Times New Roman" w:hAnsi="Times New Roman" w:cs="Times New Roman"/>
                <w:b/>
                <w:color w:val="auto"/>
                <w:sz w:val="18"/>
                <w:szCs w:val="18"/>
                <w:highlight w:val="none"/>
                <w:lang w:val="en-GB"/>
              </w:rPr>
            </w:pPr>
          </w:p>
        </w:tc>
        <w:tc>
          <w:tcPr>
            <w:tcW w:w="14421" w:type="dxa"/>
            <w:gridSpan w:val="20"/>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Build effective, efficient and dynamic institutions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1370"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37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57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932"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92"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060"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Output</w:t>
            </w:r>
          </w:p>
        </w:tc>
        <w:tc>
          <w:tcPr>
            <w:tcW w:w="4414"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95"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595" w:type="dxa"/>
            <w:gridSpan w:val="3"/>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Implementing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institution /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370"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371" w:type="dxa"/>
            <w:vMerge w:val="continue"/>
          </w:tcPr>
          <w:p>
            <w:pPr>
              <w:spacing w:after="0" w:line="240" w:lineRule="auto"/>
              <w:rPr>
                <w:rFonts w:ascii="Times New Roman" w:hAnsi="Times New Roman" w:cs="Times New Roman"/>
                <w:b/>
                <w:color w:val="auto"/>
                <w:sz w:val="18"/>
                <w:szCs w:val="18"/>
                <w:highlight w:val="none"/>
                <w:lang w:val="en-GB"/>
              </w:rPr>
            </w:pPr>
          </w:p>
        </w:tc>
        <w:tc>
          <w:tcPr>
            <w:tcW w:w="1571" w:type="dxa"/>
            <w:vMerge w:val="continue"/>
          </w:tcPr>
          <w:p>
            <w:pPr>
              <w:spacing w:after="0" w:line="240" w:lineRule="auto"/>
              <w:rPr>
                <w:rFonts w:ascii="Times New Roman" w:hAnsi="Times New Roman" w:cs="Times New Roman"/>
                <w:b/>
                <w:color w:val="auto"/>
                <w:sz w:val="18"/>
                <w:szCs w:val="18"/>
                <w:highlight w:val="none"/>
                <w:lang w:val="en-GB"/>
              </w:rPr>
            </w:pPr>
          </w:p>
        </w:tc>
        <w:tc>
          <w:tcPr>
            <w:tcW w:w="932" w:type="dxa"/>
            <w:vMerge w:val="continue"/>
          </w:tcPr>
          <w:p>
            <w:pPr>
              <w:spacing w:after="0" w:line="240" w:lineRule="auto"/>
              <w:rPr>
                <w:rFonts w:ascii="Times New Roman" w:hAnsi="Times New Roman" w:cs="Times New Roman"/>
                <w:b/>
                <w:color w:val="auto"/>
                <w:sz w:val="18"/>
                <w:szCs w:val="18"/>
                <w:highlight w:val="none"/>
                <w:lang w:val="en-GB"/>
              </w:rPr>
            </w:pP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060" w:type="dxa"/>
            <w:vMerge w:val="continue"/>
          </w:tcPr>
          <w:p>
            <w:pPr>
              <w:spacing w:after="0" w:line="240" w:lineRule="auto"/>
              <w:rPr>
                <w:rFonts w:ascii="Times New Roman" w:hAnsi="Times New Roman" w:cs="Times New Roman"/>
                <w:b/>
                <w:color w:val="auto"/>
                <w:sz w:val="18"/>
                <w:szCs w:val="18"/>
                <w:highlight w:val="none"/>
                <w:lang w:val="en-GB"/>
              </w:rPr>
            </w:pPr>
          </w:p>
        </w:tc>
        <w:tc>
          <w:tcPr>
            <w:tcW w:w="72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99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91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24"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542"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2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7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628"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Ong</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oing </w:t>
            </w:r>
          </w:p>
        </w:tc>
        <w:tc>
          <w:tcPr>
            <w:tcW w:w="76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818"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113.Organization of statutory meetings,  General Assembly and other ad hoc meetings </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Statutory meetings,  General Assembly and other ad hoc meetings organized</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330,600.00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105,000.00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C.ADMIN, PPD</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114.Promote Community Participation at the regional level for stakeholders in the Accountability value chain.</w:t>
            </w:r>
          </w:p>
        </w:tc>
        <w:tc>
          <w:tcPr>
            <w:tcW w:w="932"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stakeholder engagement and Accountability along the value chain.</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gridSpan w:val="2"/>
          </w:tcPr>
          <w:p>
            <w:pPr>
              <w:spacing w:after="0" w:line="240" w:lineRule="auto"/>
              <w:rPr>
                <w:rFonts w:ascii="Times New Roman" w:hAnsi="Times New Roman" w:cs="Times New Roman"/>
                <w:color w:val="auto"/>
                <w:sz w:val="18"/>
                <w:szCs w:val="18"/>
                <w:highlight w:val="none"/>
                <w:lang w:val="en-US"/>
              </w:rPr>
            </w:pP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vAlign w:val="center"/>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115.Support Internal Audit and Social Audit committee in their meetings and dissesmination of their reports, conduct field Audits/monitoring of projects</w:t>
            </w:r>
          </w:p>
        </w:tc>
        <w:tc>
          <w:tcPr>
            <w:tcW w:w="932"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Improved Internal Auditing of the Assembly </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vAlign w:val="center"/>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116.Support the audit committee of the 3% disability fund to scrutiny </w:t>
            </w:r>
          </w:p>
        </w:tc>
        <w:tc>
          <w:tcPr>
            <w:tcW w:w="932"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Audit Committee activities supports </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117.Support and promote District Accountability and PFM.</w:t>
            </w:r>
          </w:p>
        </w:tc>
        <w:tc>
          <w:tcPr>
            <w:tcW w:w="932"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District Accountability and PFM.</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gridSpan w:val="2"/>
          </w:tcPr>
          <w:p>
            <w:pPr>
              <w:spacing w:after="0" w:line="240" w:lineRule="auto"/>
              <w:rPr>
                <w:rFonts w:ascii="Times New Roman" w:hAnsi="Times New Roman" w:cs="Times New Roman"/>
                <w:color w:val="auto"/>
                <w:sz w:val="18"/>
                <w:szCs w:val="18"/>
                <w:highlight w:val="none"/>
                <w:lang w:val="en-US"/>
              </w:rPr>
            </w:pP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 CDD</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GIZ, CDD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118.Rollout of Citizens Eye App which would be used by Citizens to Rate services and to report issues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Enhanced citizenship participation at the local level</w:t>
            </w: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w:t>
            </w: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914"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gridSpan w:val="2"/>
          </w:tcPr>
          <w:p>
            <w:pPr>
              <w:spacing w:after="0" w:line="240" w:lineRule="auto"/>
              <w:rPr>
                <w:rFonts w:ascii="Times New Roman" w:hAnsi="Times New Roman" w:cs="Times New Roman"/>
                <w:color w:val="auto"/>
                <w:sz w:val="18"/>
                <w:szCs w:val="18"/>
                <w:highlight w:val="none"/>
                <w:lang w:val="en-US"/>
              </w:rPr>
            </w:pP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119.Support to Social Audit Committees through capacity building and peer-to-peer learning</w:t>
            </w:r>
          </w:p>
        </w:tc>
        <w:tc>
          <w:tcPr>
            <w:tcW w:w="932"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Social Audit  Committee capacity built and Peer-to-peer learning improved</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28" w:type="dxa"/>
            <w:gridSpan w:val="2"/>
          </w:tcPr>
          <w:p>
            <w:pPr>
              <w:spacing w:after="0" w:line="240" w:lineRule="auto"/>
              <w:rPr>
                <w:rFonts w:ascii="Times New Roman" w:hAnsi="Times New Roman" w:cs="Times New Roman"/>
                <w:color w:val="auto"/>
                <w:sz w:val="18"/>
                <w:szCs w:val="18"/>
                <w:highlight w:val="none"/>
                <w:lang w:val="en-US"/>
              </w:rPr>
            </w:pP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120.Organize 4No. stakeholders, Public Fora and Town hall meetings be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Public For a and Town hall meetings organized </w:t>
            </w:r>
          </w:p>
        </w:tc>
        <w:tc>
          <w:tcPr>
            <w:tcW w:w="72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8,500.00</w:t>
            </w: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36,500.00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45,000.00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DBA/DPO/NCCE</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121.Gazette Assembly documents i.e By-laws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Assembly Documents Gazette </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914" w:type="dxa"/>
          </w:tcPr>
          <w:p>
            <w:pPr>
              <w:spacing w:after="0" w:line="240" w:lineRule="auto"/>
              <w:rPr>
                <w:rFonts w:ascii="Times New Roman" w:hAnsi="Times New Roman" w:cs="Times New Roman"/>
                <w:color w:val="auto"/>
                <w:sz w:val="18"/>
                <w:szCs w:val="18"/>
                <w:highlight w:val="none"/>
                <w:lang w:val="en-US"/>
              </w:rPr>
            </w:pP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C. ADMIN</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122.Compensate and acquire Title deeds for Assembly lands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Title deeds acquired for Assembly lands</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PP</w:t>
            </w:r>
            <w:r>
              <w:rPr>
                <w:rFonts w:ascii="Times New Roman" w:hAnsi="Times New Roman" w:cs="Times New Roman"/>
                <w:color w:val="auto"/>
                <w:sz w:val="18"/>
                <w:szCs w:val="18"/>
                <w:highlight w:val="none"/>
                <w:lang w:val="en-US"/>
              </w:rPr>
              <w:t>D</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123.Repair of Assembly offices, residential accommodations and equipment (O&amp;M)</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Assembly offices, residential accommodations and equipment repaired </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150,000.00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DWE</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124.Renovate and furnish Assembly Hall by Dec. 2023</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Assembly hall Renovated and furnished</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90,000.00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DWE</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125.Procure office furniture </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Office furniture procured</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70,000.00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PROC.</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126.Strengthen sub district structures </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Sub-district structures strengthened </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76,569.10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DPCU</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127.National celebration i.e. 6</w:t>
            </w:r>
            <w:r>
              <w:rPr>
                <w:rFonts w:ascii="Times New Roman" w:hAnsi="Times New Roman" w:cs="Times New Roman"/>
                <w:color w:val="auto"/>
                <w:sz w:val="18"/>
                <w:szCs w:val="18"/>
                <w:highlight w:val="none"/>
                <w:vertAlign w:val="superscript"/>
                <w:lang w:val="en-GB"/>
              </w:rPr>
              <w:t>th</w:t>
            </w:r>
            <w:r>
              <w:rPr>
                <w:rFonts w:ascii="Times New Roman" w:hAnsi="Times New Roman" w:cs="Times New Roman"/>
                <w:color w:val="auto"/>
                <w:sz w:val="18"/>
                <w:szCs w:val="18"/>
                <w:highlight w:val="none"/>
                <w:lang w:val="en-GB"/>
              </w:rPr>
              <w:t xml:space="preserve"> March, </w:t>
            </w:r>
            <w:r>
              <w:rPr>
                <w:rFonts w:ascii="Times New Roman" w:hAnsi="Times New Roman" w:cs="Times New Roman"/>
                <w:color w:val="auto"/>
                <w:sz w:val="18"/>
                <w:szCs w:val="18"/>
                <w:highlight w:val="none"/>
                <w:lang w:val="en-US"/>
              </w:rPr>
              <w:t xml:space="preserve">international disaster day, </w:t>
            </w:r>
            <w:r>
              <w:rPr>
                <w:rFonts w:ascii="Times New Roman" w:hAnsi="Times New Roman" w:cs="Times New Roman"/>
                <w:bCs/>
                <w:color w:val="auto"/>
                <w:sz w:val="18"/>
                <w:szCs w:val="18"/>
                <w:highlight w:val="none"/>
                <w:lang w:val="en-US"/>
              </w:rPr>
              <w:t xml:space="preserve">World Toilet Day / Global Handwashing Day </w:t>
            </w:r>
            <w:r>
              <w:rPr>
                <w:rFonts w:ascii="Times New Roman" w:hAnsi="Times New Roman" w:cs="Times New Roman"/>
                <w:color w:val="auto"/>
                <w:sz w:val="18"/>
                <w:szCs w:val="18"/>
                <w:highlight w:val="none"/>
                <w:lang w:val="en-GB"/>
              </w:rPr>
              <w:t xml:space="preserve">&amp; Farmers Day  </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National celebrations organized</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45,000.00</w:t>
            </w: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135,500.00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DDE NADMO, DEHU &amp; DAD</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General administration </w:t>
            </w:r>
          </w:p>
        </w:tc>
        <w:tc>
          <w:tcPr>
            <w:tcW w:w="15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128.Procurement of office supplies and consumable </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Office supplies and consumables procured </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60,000.00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PROC.</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370"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3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71"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129.Procurement of office materials/</w:t>
            </w:r>
            <w:r>
              <w:rPr>
                <w:rFonts w:ascii="Times New Roman" w:hAnsi="Times New Roman" w:cs="Times New Roman"/>
                <w:color w:val="auto"/>
                <w:sz w:val="20"/>
                <w:szCs w:val="20"/>
                <w:highlight w:val="none"/>
                <w:lang w:val="en-GB"/>
              </w:rPr>
              <w:t xml:space="preserve"> </w:t>
            </w:r>
            <w:r>
              <w:rPr>
                <w:rFonts w:ascii="Times New Roman" w:hAnsi="Times New Roman" w:cs="Times New Roman"/>
                <w:color w:val="auto"/>
                <w:sz w:val="18"/>
                <w:szCs w:val="18"/>
                <w:highlight w:val="none"/>
                <w:lang w:val="en-GB"/>
              </w:rPr>
              <w:t xml:space="preserve">Provision and maintenance of streetlights &amp; electric poles </w:t>
            </w:r>
          </w:p>
        </w:tc>
        <w:tc>
          <w:tcPr>
            <w:tcW w:w="932"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8"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06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Office materials procured </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990" w:type="dxa"/>
          </w:tcPr>
          <w:p>
            <w:pPr>
              <w:spacing w:after="0" w:line="240" w:lineRule="auto"/>
              <w:rPr>
                <w:rFonts w:ascii="Times New Roman" w:hAnsi="Times New Roman" w:cs="Times New Roman"/>
                <w:color w:val="auto"/>
                <w:sz w:val="18"/>
                <w:szCs w:val="18"/>
                <w:highlight w:val="none"/>
                <w:lang w:val="en-US"/>
              </w:rPr>
            </w:pPr>
          </w:p>
        </w:tc>
        <w:tc>
          <w:tcPr>
            <w:tcW w:w="914"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100,000.00</w:t>
            </w:r>
          </w:p>
        </w:tc>
        <w:tc>
          <w:tcPr>
            <w:tcW w:w="724" w:type="dxa"/>
          </w:tcPr>
          <w:p>
            <w:pPr>
              <w:spacing w:after="0" w:line="240" w:lineRule="auto"/>
              <w:rPr>
                <w:rFonts w:ascii="Times New Roman" w:hAnsi="Times New Roman" w:cs="Times New Roman"/>
                <w:color w:val="auto"/>
                <w:sz w:val="18"/>
                <w:szCs w:val="18"/>
                <w:highlight w:val="none"/>
                <w:lang w:val="en-US"/>
              </w:rPr>
            </w:pPr>
          </w:p>
        </w:tc>
        <w:tc>
          <w:tcPr>
            <w:tcW w:w="542" w:type="dxa"/>
          </w:tcPr>
          <w:p>
            <w:pPr>
              <w:spacing w:after="0" w:line="240" w:lineRule="auto"/>
              <w:rPr>
                <w:rFonts w:ascii="Times New Roman" w:hAnsi="Times New Roman" w:cs="Times New Roman"/>
                <w:color w:val="auto"/>
                <w:sz w:val="18"/>
                <w:szCs w:val="18"/>
                <w:highlight w:val="none"/>
                <w:lang w:val="en-US"/>
              </w:rPr>
            </w:pPr>
          </w:p>
        </w:tc>
        <w:tc>
          <w:tcPr>
            <w:tcW w:w="520" w:type="dxa"/>
          </w:tcPr>
          <w:p>
            <w:pPr>
              <w:spacing w:after="0" w:line="240" w:lineRule="auto"/>
              <w:rPr>
                <w:rFonts w:ascii="Times New Roman" w:hAnsi="Times New Roman" w:cs="Times New Roman"/>
                <w:color w:val="auto"/>
                <w:sz w:val="18"/>
                <w:szCs w:val="18"/>
                <w:highlight w:val="none"/>
                <w:lang w:val="en-US"/>
              </w:rPr>
            </w:pPr>
          </w:p>
        </w:tc>
        <w:tc>
          <w:tcPr>
            <w:tcW w:w="578" w:type="dxa"/>
          </w:tcPr>
          <w:p>
            <w:pPr>
              <w:spacing w:after="0" w:line="240" w:lineRule="auto"/>
              <w:rPr>
                <w:rFonts w:ascii="Times New Roman" w:hAnsi="Times New Roman" w:cs="Times New Roman"/>
                <w:color w:val="auto"/>
                <w:sz w:val="18"/>
                <w:szCs w:val="18"/>
                <w:highlight w:val="none"/>
                <w:lang w:val="en-US"/>
              </w:rPr>
            </w:pPr>
          </w:p>
        </w:tc>
        <w:tc>
          <w:tcPr>
            <w:tcW w:w="628"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76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PROC.</w:t>
            </w:r>
          </w:p>
        </w:tc>
        <w:tc>
          <w:tcPr>
            <w:tcW w:w="818"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21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630"/>
        <w:gridCol w:w="1126"/>
        <w:gridCol w:w="1596"/>
        <w:gridCol w:w="897"/>
        <w:gridCol w:w="447"/>
        <w:gridCol w:w="447"/>
        <w:gridCol w:w="447"/>
        <w:gridCol w:w="447"/>
        <w:gridCol w:w="1596"/>
        <w:gridCol w:w="587"/>
        <w:gridCol w:w="1026"/>
        <w:gridCol w:w="936"/>
        <w:gridCol w:w="776"/>
        <w:gridCol w:w="456"/>
        <w:gridCol w:w="560"/>
        <w:gridCol w:w="556"/>
        <w:gridCol w:w="630"/>
        <w:gridCol w:w="7"/>
        <w:gridCol w:w="607"/>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626" w:type="dxa"/>
          </w:tcPr>
          <w:p>
            <w:pPr>
              <w:spacing w:after="0" w:line="240" w:lineRule="auto"/>
              <w:rPr>
                <w:rFonts w:ascii="Times New Roman" w:hAnsi="Times New Roman" w:cs="Times New Roman"/>
                <w:b/>
                <w:color w:val="auto"/>
                <w:sz w:val="18"/>
                <w:szCs w:val="18"/>
                <w:highlight w:val="none"/>
                <w:lang w:val="en-GB"/>
              </w:rPr>
            </w:pPr>
          </w:p>
        </w:tc>
        <w:tc>
          <w:tcPr>
            <w:tcW w:w="14584" w:type="dxa"/>
            <w:gridSpan w:val="20"/>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DMTDP Goal: Build effective, efficient and dynamic institutions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1256"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12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59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897"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88"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159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Expected Output</w:t>
            </w:r>
          </w:p>
        </w:tc>
        <w:tc>
          <w:tcPr>
            <w:tcW w:w="4341"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86"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1424" w:type="dxa"/>
            <w:gridSpan w:val="3"/>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Implementing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institution /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256"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126" w:type="dxa"/>
            <w:vMerge w:val="continue"/>
          </w:tcPr>
          <w:p>
            <w:pPr>
              <w:spacing w:after="0" w:line="240" w:lineRule="auto"/>
              <w:rPr>
                <w:rFonts w:ascii="Times New Roman" w:hAnsi="Times New Roman" w:cs="Times New Roman"/>
                <w:b/>
                <w:color w:val="auto"/>
                <w:sz w:val="18"/>
                <w:szCs w:val="18"/>
                <w:highlight w:val="none"/>
                <w:lang w:val="en-GB"/>
              </w:rPr>
            </w:pPr>
          </w:p>
        </w:tc>
        <w:tc>
          <w:tcPr>
            <w:tcW w:w="1596" w:type="dxa"/>
            <w:vMerge w:val="continue"/>
          </w:tcPr>
          <w:p>
            <w:pPr>
              <w:spacing w:after="0" w:line="240" w:lineRule="auto"/>
              <w:rPr>
                <w:rFonts w:ascii="Times New Roman" w:hAnsi="Times New Roman" w:cs="Times New Roman"/>
                <w:b/>
                <w:color w:val="auto"/>
                <w:sz w:val="18"/>
                <w:szCs w:val="18"/>
                <w:highlight w:val="none"/>
                <w:lang w:val="en-GB"/>
              </w:rPr>
            </w:pPr>
          </w:p>
        </w:tc>
        <w:tc>
          <w:tcPr>
            <w:tcW w:w="897" w:type="dxa"/>
            <w:vMerge w:val="continue"/>
          </w:tcPr>
          <w:p>
            <w:pPr>
              <w:spacing w:after="0" w:line="240" w:lineRule="auto"/>
              <w:rPr>
                <w:rFonts w:ascii="Times New Roman" w:hAnsi="Times New Roman" w:cs="Times New Roman"/>
                <w:b/>
                <w:color w:val="auto"/>
                <w:sz w:val="18"/>
                <w:szCs w:val="18"/>
                <w:highlight w:val="none"/>
                <w:lang w:val="en-GB"/>
              </w:rPr>
            </w:pP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1596" w:type="dxa"/>
            <w:vMerge w:val="continue"/>
          </w:tcPr>
          <w:p>
            <w:pPr>
              <w:spacing w:after="0" w:line="240" w:lineRule="auto"/>
              <w:rPr>
                <w:rFonts w:ascii="Times New Roman" w:hAnsi="Times New Roman" w:cs="Times New Roman"/>
                <w:b/>
                <w:color w:val="auto"/>
                <w:sz w:val="18"/>
                <w:szCs w:val="18"/>
                <w:highlight w:val="none"/>
                <w:lang w:val="en-GB"/>
              </w:rPr>
            </w:pPr>
          </w:p>
        </w:tc>
        <w:tc>
          <w:tcPr>
            <w:tcW w:w="58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102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93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77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4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6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637"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going </w:t>
            </w:r>
          </w:p>
        </w:tc>
        <w:tc>
          <w:tcPr>
            <w:tcW w:w="60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81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130.Support Monitoring and evaluation Activities</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District wide </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Monitoring and Evaluation Activities</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DPO</w:t>
            </w:r>
          </w:p>
        </w:tc>
        <w:tc>
          <w:tcPr>
            <w:tcW w:w="81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DPCU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131.Prepare Composite budget, fee fixing / Giz GoviD Partners by Oct.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Composite Budget and fixing prepared</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25,000.00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70,000.00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DBA</w:t>
            </w:r>
          </w:p>
        </w:tc>
        <w:tc>
          <w:tcPr>
            <w:tcW w:w="81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Budget Committee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132.Prepare Revenue Improvement Action Plan by Dec.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Revenue Improvement Action Plan prepared</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DBA </w:t>
            </w:r>
          </w:p>
        </w:tc>
        <w:tc>
          <w:tcPr>
            <w:tcW w:w="81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Budget Committee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133.Prepare 2024 Annual Action Plan by Otc.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2024 Annual Action Plan Prepared</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8,000.00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DPO</w:t>
            </w:r>
          </w:p>
        </w:tc>
        <w:tc>
          <w:tcPr>
            <w:tcW w:w="81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134.Procure additional tablets to speed up revenue collection by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Improved revenue collection in the District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gridSpan w:val="2"/>
          </w:tcPr>
          <w:p>
            <w:pPr>
              <w:spacing w:after="0" w:line="240" w:lineRule="auto"/>
              <w:rPr>
                <w:rFonts w:ascii="Times New Roman" w:hAnsi="Times New Roman" w:cs="Times New Roman"/>
                <w:color w:val="auto"/>
                <w:sz w:val="18"/>
                <w:szCs w:val="18"/>
                <w:highlight w:val="none"/>
                <w:lang w:val="en-US"/>
              </w:rPr>
            </w:pPr>
          </w:p>
        </w:tc>
        <w:tc>
          <w:tcPr>
            <w:tcW w:w="60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DFO</w:t>
            </w:r>
          </w:p>
        </w:tc>
        <w:tc>
          <w:tcPr>
            <w:tcW w:w="81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DBO</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w:t>
            </w:r>
          </w:p>
          <w:p>
            <w:pPr>
              <w:spacing w:after="0" w:line="240" w:lineRule="auto"/>
              <w:rPr>
                <w:rFonts w:ascii="Times New Roman" w:hAnsi="Times New Roman" w:cs="Times New Roman"/>
                <w:color w:val="auto"/>
                <w:sz w:val="18"/>
                <w:szCs w:val="18"/>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center"/>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135.Train revenue collectors to use revenue collection application by Dec.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Revenue collectors trained in the use of revenue collection applications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12,000.00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gridSpan w:val="2"/>
          </w:tcPr>
          <w:p>
            <w:pPr>
              <w:spacing w:after="0" w:line="240" w:lineRule="auto"/>
              <w:rPr>
                <w:rFonts w:ascii="Times New Roman" w:hAnsi="Times New Roman" w:cs="Times New Roman"/>
                <w:color w:val="auto"/>
                <w:sz w:val="18"/>
                <w:szCs w:val="18"/>
                <w:highlight w:val="none"/>
                <w:lang w:val="en-US"/>
              </w:rPr>
            </w:pPr>
          </w:p>
        </w:tc>
        <w:tc>
          <w:tcPr>
            <w:tcW w:w="607"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GB"/>
              </w:rPr>
              <w:t>DFO</w:t>
            </w:r>
          </w:p>
        </w:tc>
        <w:tc>
          <w:tcPr>
            <w:tcW w:w="81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DBO</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center"/>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136.Develop and implement bill printing plan by Mar.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Bill printing plan developed and implemented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7,000.00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GB"/>
              </w:rPr>
              <w:t>DFO</w:t>
            </w:r>
          </w:p>
        </w:tc>
        <w:tc>
          <w:tcPr>
            <w:tcW w:w="810"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DBO</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IA</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137.Organize Public sensitization on e-billing and payments by Mar.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Sensitization organized on e-billing and payment in the District by January 2023</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15,000.00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rPr>
              <w:t>DFO</w:t>
            </w:r>
          </w:p>
        </w:tc>
        <w:tc>
          <w:tcPr>
            <w:tcW w:w="81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DBO</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center"/>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138.Organize training in the electronic billing and payment functionalities by Mar.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Training in the electronic billing and payment functionalities organized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25,000.00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637" w:type="dxa"/>
            <w:gridSpan w:val="2"/>
          </w:tcPr>
          <w:p>
            <w:pPr>
              <w:spacing w:after="0" w:line="240" w:lineRule="auto"/>
              <w:rPr>
                <w:rFonts w:ascii="Times New Roman" w:hAnsi="Times New Roman" w:cs="Times New Roman"/>
                <w:color w:val="auto"/>
                <w:sz w:val="18"/>
                <w:szCs w:val="18"/>
                <w:highlight w:val="none"/>
                <w:lang w:val="en-US"/>
              </w:rPr>
            </w:pPr>
          </w:p>
        </w:tc>
        <w:tc>
          <w:tcPr>
            <w:tcW w:w="60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DFO</w:t>
            </w:r>
          </w:p>
        </w:tc>
        <w:tc>
          <w:tcPr>
            <w:tcW w:w="81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DBO</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139.Setup accounts with Ghipps and telecommunication providers for electronic billing and payments</w:t>
            </w:r>
          </w:p>
        </w:tc>
        <w:tc>
          <w:tcPr>
            <w:tcW w:w="897"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Accounts with Ghipps and telecommunication providers for electronic billing and payments set up</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DFO</w:t>
            </w:r>
          </w:p>
        </w:tc>
        <w:tc>
          <w:tcPr>
            <w:tcW w:w="81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DBO</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140.Upgrading internet facility to improve GIFMIS operations</w:t>
            </w:r>
          </w:p>
        </w:tc>
        <w:tc>
          <w:tcPr>
            <w:tcW w:w="897"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internet facility upgraded to improve GIFMIS operations</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w:t>
            </w:r>
          </w:p>
        </w:tc>
        <w:tc>
          <w:tcPr>
            <w:tcW w:w="607" w:type="dxa"/>
          </w:tcPr>
          <w:p>
            <w:pPr>
              <w:spacing w:after="0" w:line="240" w:lineRule="auto"/>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lang w:val="en-US"/>
              </w:rPr>
              <w:t>DFO</w:t>
            </w:r>
          </w:p>
        </w:tc>
        <w:tc>
          <w:tcPr>
            <w:tcW w:w="81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141.Train DPCU members on SDGs by Jun. 2023</w:t>
            </w:r>
          </w:p>
        </w:tc>
        <w:tc>
          <w:tcPr>
            <w:tcW w:w="89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DPCU members trained on SDGs</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15,000.00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p>
        </w:tc>
        <w:tc>
          <w:tcPr>
            <w:tcW w:w="60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DPO</w:t>
            </w:r>
          </w:p>
        </w:tc>
        <w:tc>
          <w:tcPr>
            <w:tcW w:w="81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142.Organise mid-year review on  2023 Anual Action Plan and Budget. By July 2023</w:t>
            </w:r>
          </w:p>
        </w:tc>
        <w:tc>
          <w:tcPr>
            <w:tcW w:w="89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2023 Anual Action Plan and Budget reviewed by july 2023</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p>
        </w:tc>
        <w:tc>
          <w:tcPr>
            <w:tcW w:w="60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DBO</w:t>
            </w:r>
          </w:p>
        </w:tc>
        <w:tc>
          <w:tcPr>
            <w:tcW w:w="81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DPO</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vAlign w:val="bottom"/>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143.Organise Refresher training for  DPCU on district core indicators</w:t>
            </w:r>
          </w:p>
        </w:tc>
        <w:tc>
          <w:tcPr>
            <w:tcW w:w="89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Refresher training organized for  DPCU on district core indicators</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13,000.00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p>
        </w:tc>
        <w:tc>
          <w:tcPr>
            <w:tcW w:w="60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DPO</w:t>
            </w:r>
          </w:p>
        </w:tc>
        <w:tc>
          <w:tcPr>
            <w:tcW w:w="81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2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Planning, budgeting and coordination</w:t>
            </w: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144.Procure Computer, Tablets and provide reliable Internet connection first level DDDP Team by Jun. 2023</w:t>
            </w:r>
          </w:p>
        </w:tc>
        <w:tc>
          <w:tcPr>
            <w:tcW w:w="89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447" w:type="dxa"/>
          </w:tcPr>
          <w:p>
            <w:pPr>
              <w:spacing w:after="0" w:line="240" w:lineRule="auto"/>
              <w:rPr>
                <w:rFonts w:ascii="Times New Roman" w:hAnsi="Times New Roman" w:cs="Times New Roman"/>
                <w:color w:val="auto"/>
                <w:sz w:val="18"/>
                <w:szCs w:val="18"/>
                <w:highlight w:val="none"/>
                <w:lang w:val="en-US"/>
              </w:rPr>
            </w:pPr>
          </w:p>
        </w:tc>
        <w:tc>
          <w:tcPr>
            <w:tcW w:w="159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Improved service delivery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102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26,000.00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4,000.00</w:t>
            </w:r>
          </w:p>
        </w:tc>
        <w:tc>
          <w:tcPr>
            <w:tcW w:w="776" w:type="dxa"/>
          </w:tcPr>
          <w:p>
            <w:pPr>
              <w:spacing w:after="0" w:line="240" w:lineRule="auto"/>
              <w:rPr>
                <w:rFonts w:ascii="Times New Roman" w:hAnsi="Times New Roman" w:cs="Times New Roman"/>
                <w:color w:val="auto"/>
                <w:sz w:val="18"/>
                <w:szCs w:val="18"/>
                <w:highlight w:val="none"/>
                <w:lang w:val="en-US"/>
              </w:rPr>
            </w:pPr>
          </w:p>
        </w:tc>
        <w:tc>
          <w:tcPr>
            <w:tcW w:w="456" w:type="dxa"/>
          </w:tcPr>
          <w:p>
            <w:pPr>
              <w:spacing w:after="0" w:line="240" w:lineRule="auto"/>
              <w:rPr>
                <w:rFonts w:ascii="Times New Roman" w:hAnsi="Times New Roman" w:cs="Times New Roman"/>
                <w:color w:val="auto"/>
                <w:sz w:val="18"/>
                <w:szCs w:val="18"/>
                <w:highlight w:val="none"/>
                <w:lang w:val="en-US"/>
              </w:rPr>
            </w:pPr>
          </w:p>
        </w:tc>
        <w:tc>
          <w:tcPr>
            <w:tcW w:w="560"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637" w:type="dxa"/>
            <w:gridSpan w:val="2"/>
          </w:tcPr>
          <w:p>
            <w:pPr>
              <w:spacing w:after="0" w:line="240" w:lineRule="auto"/>
              <w:rPr>
                <w:rFonts w:ascii="Times New Roman" w:hAnsi="Times New Roman" w:cs="Times New Roman"/>
                <w:color w:val="auto"/>
                <w:sz w:val="18"/>
                <w:szCs w:val="18"/>
                <w:highlight w:val="none"/>
                <w:lang w:val="en-US"/>
              </w:rPr>
            </w:pPr>
          </w:p>
        </w:tc>
        <w:tc>
          <w:tcPr>
            <w:tcW w:w="60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DPO</w:t>
            </w:r>
          </w:p>
        </w:tc>
        <w:tc>
          <w:tcPr>
            <w:tcW w:w="81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GIZ</w:t>
            </w:r>
          </w:p>
        </w:tc>
      </w:tr>
    </w:tbl>
    <w:p>
      <w:pPr>
        <w:rPr>
          <w:rFonts w:ascii="Times New Roman" w:hAnsi="Times New Roman" w:cs="Times New Roman"/>
          <w:b/>
          <w:color w:val="auto"/>
          <w:sz w:val="28"/>
          <w:szCs w:val="28"/>
          <w:highlight w:val="none"/>
          <w:lang w:val="en-US"/>
        </w:rPr>
      </w:pPr>
    </w:p>
    <w:p>
      <w:pPr>
        <w:rPr>
          <w:rFonts w:ascii="Times New Roman" w:hAnsi="Times New Roman" w:cs="Times New Roman"/>
          <w:b/>
          <w:color w:val="auto"/>
          <w:sz w:val="28"/>
          <w:szCs w:val="28"/>
          <w:highlight w:val="none"/>
          <w:lang w:val="en-US"/>
        </w:rPr>
      </w:pPr>
    </w:p>
    <w:p>
      <w:pPr>
        <w:rPr>
          <w:rFonts w:ascii="Times New Roman" w:hAnsi="Times New Roman" w:cs="Times New Roman"/>
          <w:b/>
          <w:color w:val="auto"/>
          <w:sz w:val="28"/>
          <w:szCs w:val="28"/>
          <w:highlight w:val="none"/>
          <w:lang w:val="en-US"/>
        </w:rPr>
      </w:pPr>
    </w:p>
    <w:p>
      <w:pPr>
        <w:rPr>
          <w:rFonts w:ascii="Times New Roman" w:hAnsi="Times New Roman" w:cs="Times New Roman"/>
          <w:b/>
          <w:color w:val="auto"/>
          <w:sz w:val="28"/>
          <w:szCs w:val="28"/>
          <w:highlight w:val="none"/>
          <w:lang w:val="en-US"/>
        </w:rPr>
      </w:pPr>
    </w:p>
    <w:p>
      <w:pPr>
        <w:rPr>
          <w:rFonts w:ascii="Times New Roman" w:hAnsi="Times New Roman" w:cs="Times New Roman"/>
          <w:b/>
          <w:color w:val="auto"/>
          <w:sz w:val="28"/>
          <w:szCs w:val="28"/>
          <w:highlight w:val="none"/>
          <w:lang w:val="en-US"/>
        </w:rPr>
      </w:pPr>
      <w:r>
        <w:rPr>
          <w:rFonts w:ascii="Times New Roman" w:hAnsi="Times New Roman" w:cs="Times New Roman"/>
          <w:b/>
          <w:color w:val="auto"/>
          <w:sz w:val="28"/>
          <w:szCs w:val="28"/>
          <w:highlight w:val="none"/>
          <w:lang w:val="en-US"/>
        </w:rPr>
        <w:t>Annual Action Plan (AAP) – 2023</w:t>
      </w:r>
    </w:p>
    <w:tbl>
      <w:tblPr>
        <w:tblStyle w:val="50"/>
        <w:tblW w:w="1550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668"/>
        <w:gridCol w:w="1136"/>
        <w:gridCol w:w="1191"/>
        <w:gridCol w:w="897"/>
        <w:gridCol w:w="447"/>
        <w:gridCol w:w="447"/>
        <w:gridCol w:w="447"/>
        <w:gridCol w:w="447"/>
        <w:gridCol w:w="976"/>
        <w:gridCol w:w="587"/>
        <w:gridCol w:w="936"/>
        <w:gridCol w:w="936"/>
        <w:gridCol w:w="936"/>
        <w:gridCol w:w="936"/>
        <w:gridCol w:w="517"/>
        <w:gridCol w:w="556"/>
        <w:gridCol w:w="580"/>
        <w:gridCol w:w="987"/>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588" w:type="dxa"/>
          </w:tcPr>
          <w:p>
            <w:pPr>
              <w:spacing w:after="0" w:line="240" w:lineRule="auto"/>
              <w:rPr>
                <w:rFonts w:ascii="Times New Roman" w:hAnsi="Times New Roman" w:cs="Times New Roman"/>
                <w:b/>
                <w:color w:val="auto"/>
                <w:sz w:val="18"/>
                <w:szCs w:val="18"/>
                <w:highlight w:val="none"/>
                <w:lang w:val="en-GB"/>
              </w:rPr>
            </w:pPr>
          </w:p>
        </w:tc>
        <w:tc>
          <w:tcPr>
            <w:tcW w:w="14914" w:type="dxa"/>
            <w:gridSpan w:val="19"/>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DMTDP Goal: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1256" w:type="dxa"/>
            <w:gridSpan w:val="2"/>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Programme (PBB)</w:t>
            </w:r>
          </w:p>
        </w:tc>
        <w:tc>
          <w:tcPr>
            <w:tcW w:w="113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Sub programme (PBB)</w:t>
            </w:r>
          </w:p>
        </w:tc>
        <w:tc>
          <w:tcPr>
            <w:tcW w:w="1191"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Broad activities</w:t>
            </w:r>
          </w:p>
        </w:tc>
        <w:tc>
          <w:tcPr>
            <w:tcW w:w="897"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Location </w:t>
            </w:r>
          </w:p>
        </w:tc>
        <w:tc>
          <w:tcPr>
            <w:tcW w:w="1788" w:type="dxa"/>
            <w:gridSpan w:val="4"/>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Time frame (Year)</w:t>
            </w:r>
          </w:p>
        </w:tc>
        <w:tc>
          <w:tcPr>
            <w:tcW w:w="976" w:type="dxa"/>
            <w:vMerge w:val="restart"/>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Expected Output </w:t>
            </w:r>
          </w:p>
        </w:tc>
        <w:tc>
          <w:tcPr>
            <w:tcW w:w="4848" w:type="dxa"/>
            <w:gridSpan w:val="6"/>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Cost (GH¢)</w:t>
            </w:r>
          </w:p>
        </w:tc>
        <w:tc>
          <w:tcPr>
            <w:tcW w:w="1136"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Programme status </w:t>
            </w:r>
          </w:p>
        </w:tc>
        <w:tc>
          <w:tcPr>
            <w:tcW w:w="2274" w:type="dxa"/>
            <w:gridSpan w:val="2"/>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Implementing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institution / </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department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256" w:type="dxa"/>
            <w:gridSpan w:val="2"/>
            <w:vMerge w:val="continue"/>
          </w:tcPr>
          <w:p>
            <w:pPr>
              <w:spacing w:after="0" w:line="240" w:lineRule="auto"/>
              <w:rPr>
                <w:rFonts w:ascii="Times New Roman" w:hAnsi="Times New Roman" w:cs="Times New Roman"/>
                <w:b/>
                <w:color w:val="auto"/>
                <w:sz w:val="18"/>
                <w:szCs w:val="18"/>
                <w:highlight w:val="none"/>
                <w:lang w:val="en-GB"/>
              </w:rPr>
            </w:pPr>
          </w:p>
        </w:tc>
        <w:tc>
          <w:tcPr>
            <w:tcW w:w="1136" w:type="dxa"/>
            <w:vMerge w:val="continue"/>
          </w:tcPr>
          <w:p>
            <w:pPr>
              <w:spacing w:after="0" w:line="240" w:lineRule="auto"/>
              <w:rPr>
                <w:rFonts w:ascii="Times New Roman" w:hAnsi="Times New Roman" w:cs="Times New Roman"/>
                <w:b/>
                <w:color w:val="auto"/>
                <w:sz w:val="18"/>
                <w:szCs w:val="18"/>
                <w:highlight w:val="none"/>
                <w:lang w:val="en-GB"/>
              </w:rPr>
            </w:pPr>
          </w:p>
        </w:tc>
        <w:tc>
          <w:tcPr>
            <w:tcW w:w="1191" w:type="dxa"/>
            <w:vMerge w:val="continue"/>
          </w:tcPr>
          <w:p>
            <w:pPr>
              <w:spacing w:after="0" w:line="240" w:lineRule="auto"/>
              <w:rPr>
                <w:rFonts w:ascii="Times New Roman" w:hAnsi="Times New Roman" w:cs="Times New Roman"/>
                <w:b/>
                <w:color w:val="auto"/>
                <w:sz w:val="18"/>
                <w:szCs w:val="18"/>
                <w:highlight w:val="none"/>
                <w:lang w:val="en-GB"/>
              </w:rPr>
            </w:pPr>
          </w:p>
        </w:tc>
        <w:tc>
          <w:tcPr>
            <w:tcW w:w="897" w:type="dxa"/>
            <w:vMerge w:val="continue"/>
          </w:tcPr>
          <w:p>
            <w:pPr>
              <w:spacing w:after="0" w:line="240" w:lineRule="auto"/>
              <w:rPr>
                <w:rFonts w:ascii="Times New Roman" w:hAnsi="Times New Roman" w:cs="Times New Roman"/>
                <w:b/>
                <w:color w:val="auto"/>
                <w:sz w:val="18"/>
                <w:szCs w:val="18"/>
                <w:highlight w:val="none"/>
                <w:lang w:val="en-GB"/>
              </w:rPr>
            </w:pP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Q1</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Q2</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Q3</w:t>
            </w:r>
          </w:p>
        </w:tc>
        <w:tc>
          <w:tcPr>
            <w:tcW w:w="44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Q4</w:t>
            </w:r>
          </w:p>
        </w:tc>
        <w:tc>
          <w:tcPr>
            <w:tcW w:w="976" w:type="dxa"/>
            <w:vMerge w:val="continue"/>
          </w:tcPr>
          <w:p>
            <w:pPr>
              <w:spacing w:after="0" w:line="240" w:lineRule="auto"/>
              <w:rPr>
                <w:rFonts w:ascii="Times New Roman" w:hAnsi="Times New Roman" w:cs="Times New Roman"/>
                <w:b/>
                <w:color w:val="auto"/>
                <w:sz w:val="18"/>
                <w:szCs w:val="18"/>
                <w:highlight w:val="none"/>
                <w:lang w:val="en-GB"/>
              </w:rPr>
            </w:pPr>
          </w:p>
        </w:tc>
        <w:tc>
          <w:tcPr>
            <w:tcW w:w="58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GoG</w:t>
            </w:r>
          </w:p>
        </w:tc>
        <w:tc>
          <w:tcPr>
            <w:tcW w:w="93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IGF</w:t>
            </w:r>
          </w:p>
        </w:tc>
        <w:tc>
          <w:tcPr>
            <w:tcW w:w="93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w:t>
            </w:r>
          </w:p>
        </w:tc>
        <w:tc>
          <w:tcPr>
            <w:tcW w:w="93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DACF-RFG</w:t>
            </w:r>
          </w:p>
        </w:tc>
        <w:tc>
          <w:tcPr>
            <w:tcW w:w="93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DP</w:t>
            </w:r>
          </w:p>
        </w:tc>
        <w:tc>
          <w:tcPr>
            <w:tcW w:w="51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Oth</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ers</w:t>
            </w:r>
          </w:p>
        </w:tc>
        <w:tc>
          <w:tcPr>
            <w:tcW w:w="556"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New </w:t>
            </w:r>
          </w:p>
        </w:tc>
        <w:tc>
          <w:tcPr>
            <w:tcW w:w="580"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Ong</w:t>
            </w:r>
          </w:p>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oing </w:t>
            </w:r>
          </w:p>
        </w:tc>
        <w:tc>
          <w:tcPr>
            <w:tcW w:w="98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 xml:space="preserve">Lead </w:t>
            </w:r>
          </w:p>
        </w:tc>
        <w:tc>
          <w:tcPr>
            <w:tcW w:w="1287" w:type="dxa"/>
          </w:tcPr>
          <w:p>
            <w:pPr>
              <w:spacing w:after="0" w:line="240" w:lineRule="auto"/>
              <w:rPr>
                <w:rFonts w:ascii="Times New Roman" w:hAnsi="Times New Roman" w:cs="Times New Roman"/>
                <w:b/>
                <w:color w:val="auto"/>
                <w:sz w:val="18"/>
                <w:szCs w:val="18"/>
                <w:highlight w:val="none"/>
                <w:lang w:val="en-GB"/>
              </w:rPr>
            </w:pPr>
            <w:r>
              <w:rPr>
                <w:rFonts w:ascii="Times New Roman" w:hAnsi="Times New Roman" w:cs="Times New Roman"/>
                <w:b/>
                <w:color w:val="auto"/>
                <w:sz w:val="18"/>
                <w:szCs w:val="18"/>
                <w:highlight w:val="none"/>
                <w:lang w:val="en-GB"/>
              </w:rPr>
              <w:t>Collaborating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Human resource management </w:t>
            </w:r>
          </w:p>
        </w:tc>
        <w:tc>
          <w:tcPr>
            <w:tcW w:w="11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145.Organize Capacity building for staff, Revenue collectors Security Personnel Committee, Agric Staff &amp; Assembly members by Dec.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New Abirem</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Capacity of staff, Revenue collectors Security Personnel, Agric Staff &amp; Assembly members built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11,000.00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37,000.00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54,378.00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10,500.00</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(MAG)</w:t>
            </w: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58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HRM/</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DDA</w:t>
            </w:r>
          </w:p>
        </w:tc>
        <w:tc>
          <w:tcPr>
            <w:tcW w:w="12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Human resource management </w:t>
            </w:r>
          </w:p>
        </w:tc>
        <w:tc>
          <w:tcPr>
            <w:tcW w:w="1191" w:type="dxa"/>
            <w:shd w:val="clear" w:color="auto" w:fill="FFFFFF" w:themeFill="background1"/>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146.Update and extend the scope of  data hub for BNDA by Dec.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w:t>
            </w:r>
          </w:p>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The scope of  data hub for BNDA updated and extended</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3,000.00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58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District statistician </w:t>
            </w:r>
          </w:p>
        </w:tc>
        <w:tc>
          <w:tcPr>
            <w:tcW w:w="12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DBA, DFO, DIA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Human resource management </w:t>
            </w:r>
          </w:p>
        </w:tc>
        <w:tc>
          <w:tcPr>
            <w:tcW w:w="11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147.Train and collect data on market survey and market reading.</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New Abirem</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 xml:space="preserve">Training organized and market data collected </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580" w:type="dxa"/>
          </w:tcPr>
          <w:p>
            <w:pPr>
              <w:spacing w:after="0" w:line="240" w:lineRule="auto"/>
              <w:rPr>
                <w:rFonts w:ascii="Times New Roman" w:hAnsi="Times New Roman" w:cs="Times New Roman"/>
                <w:color w:val="auto"/>
                <w:sz w:val="18"/>
                <w:szCs w:val="18"/>
                <w:highlight w:val="none"/>
                <w:lang w:val="en-US"/>
              </w:rPr>
            </w:pPr>
          </w:p>
        </w:tc>
        <w:tc>
          <w:tcPr>
            <w:tcW w:w="9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District statistician </w:t>
            </w:r>
          </w:p>
        </w:tc>
        <w:tc>
          <w:tcPr>
            <w:tcW w:w="12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DBA, DFO, DIA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Human resource management </w:t>
            </w:r>
          </w:p>
        </w:tc>
        <w:tc>
          <w:tcPr>
            <w:tcW w:w="1191"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148.Organize Training on Basic statistical analysis for staff. By Dec. 2023</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New Abirem</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Training conducted on Basic statistical analysis for staff.</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5,000.00</w:t>
            </w: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580" w:type="dxa"/>
          </w:tcPr>
          <w:p>
            <w:pPr>
              <w:spacing w:after="0" w:line="240" w:lineRule="auto"/>
              <w:rPr>
                <w:rFonts w:ascii="Times New Roman" w:hAnsi="Times New Roman" w:cs="Times New Roman"/>
                <w:color w:val="auto"/>
                <w:sz w:val="18"/>
                <w:szCs w:val="18"/>
                <w:highlight w:val="none"/>
                <w:lang w:val="en-US"/>
              </w:rPr>
            </w:pPr>
          </w:p>
        </w:tc>
        <w:tc>
          <w:tcPr>
            <w:tcW w:w="9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District statistician </w:t>
            </w:r>
          </w:p>
        </w:tc>
        <w:tc>
          <w:tcPr>
            <w:tcW w:w="12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DBA, DFO, DIA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Human resource management </w:t>
            </w:r>
          </w:p>
        </w:tc>
        <w:tc>
          <w:tcPr>
            <w:tcW w:w="1191" w:type="dxa"/>
          </w:tcPr>
          <w:p>
            <w:pPr>
              <w:spacing w:after="0" w:line="276"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149.Procure Laptops, Computers  &amp;Printers for Selected Staff by Dec. 2023</w:t>
            </w:r>
          </w:p>
          <w:p>
            <w:pPr>
              <w:spacing w:after="0" w:line="240" w:lineRule="auto"/>
              <w:rPr>
                <w:rFonts w:ascii="Times New Roman" w:hAnsi="Times New Roman" w:cs="Times New Roman"/>
                <w:color w:val="auto"/>
                <w:sz w:val="18"/>
                <w:szCs w:val="18"/>
                <w:highlight w:val="none"/>
                <w:lang w:val="en-US"/>
              </w:rPr>
            </w:pP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Improved service delivery</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21,000.00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58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HR/PROC</w:t>
            </w:r>
          </w:p>
        </w:tc>
        <w:tc>
          <w:tcPr>
            <w:tcW w:w="12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1256" w:type="dxa"/>
            <w:gridSpan w:val="2"/>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Management and administration </w:t>
            </w:r>
          </w:p>
        </w:tc>
        <w:tc>
          <w:tcPr>
            <w:tcW w:w="1136"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 xml:space="preserve">Human resource management </w:t>
            </w:r>
          </w:p>
        </w:tc>
        <w:tc>
          <w:tcPr>
            <w:tcW w:w="1191" w:type="dxa"/>
          </w:tcPr>
          <w:p>
            <w:pPr>
              <w:spacing w:after="0" w:line="276" w:lineRule="auto"/>
              <w:rPr>
                <w:rFonts w:ascii="Times New Roman" w:hAnsi="Times New Roman" w:cs="Times New Roman"/>
                <w:color w:val="auto"/>
                <w:sz w:val="18"/>
                <w:szCs w:val="18"/>
                <w:highlight w:val="none"/>
                <w:lang w:val="en-US"/>
              </w:rPr>
            </w:pPr>
            <w:r>
              <w:rPr>
                <w:rFonts w:ascii="Times New Roman" w:hAnsi="Times New Roman" w:eastAsia="Calibri" w:cs="Times New Roman"/>
                <w:color w:val="auto"/>
                <w:sz w:val="18"/>
                <w:szCs w:val="18"/>
                <w:highlight w:val="none"/>
                <w:lang w:val="en-US"/>
              </w:rPr>
              <w:t>150.To train security personnel on best practices for Incident Responses</w:t>
            </w:r>
          </w:p>
        </w:tc>
        <w:tc>
          <w:tcPr>
            <w:tcW w:w="89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District wide</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447"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7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eastAsia="Calibri" w:cs="Times New Roman"/>
                <w:color w:val="auto"/>
                <w:sz w:val="18"/>
                <w:szCs w:val="18"/>
                <w:highlight w:val="none"/>
                <w:lang w:val="en-US"/>
              </w:rPr>
              <w:t>Security personnel trained on best practices for Incident Responses</w:t>
            </w:r>
          </w:p>
        </w:tc>
        <w:tc>
          <w:tcPr>
            <w:tcW w:w="587"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10,000.00</w:t>
            </w:r>
          </w:p>
        </w:tc>
        <w:tc>
          <w:tcPr>
            <w:tcW w:w="936"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p>
        </w:tc>
        <w:tc>
          <w:tcPr>
            <w:tcW w:w="936" w:type="dxa"/>
          </w:tcPr>
          <w:p>
            <w:pPr>
              <w:spacing w:after="0" w:line="240" w:lineRule="auto"/>
              <w:rPr>
                <w:rFonts w:ascii="Times New Roman" w:hAnsi="Times New Roman" w:cs="Times New Roman"/>
                <w:color w:val="auto"/>
                <w:sz w:val="18"/>
                <w:szCs w:val="18"/>
                <w:highlight w:val="none"/>
                <w:lang w:val="en-US"/>
              </w:rPr>
            </w:pPr>
          </w:p>
        </w:tc>
        <w:tc>
          <w:tcPr>
            <w:tcW w:w="517" w:type="dxa"/>
          </w:tcPr>
          <w:p>
            <w:pPr>
              <w:spacing w:after="0" w:line="240" w:lineRule="auto"/>
              <w:rPr>
                <w:rFonts w:ascii="Times New Roman" w:hAnsi="Times New Roman" w:cs="Times New Roman"/>
                <w:color w:val="auto"/>
                <w:sz w:val="18"/>
                <w:szCs w:val="18"/>
                <w:highlight w:val="none"/>
                <w:lang w:val="en-US"/>
              </w:rPr>
            </w:pPr>
          </w:p>
        </w:tc>
        <w:tc>
          <w:tcPr>
            <w:tcW w:w="556" w:type="dxa"/>
          </w:tcPr>
          <w:p>
            <w:pPr>
              <w:spacing w:after="0" w:line="240" w:lineRule="auto"/>
              <w:rPr>
                <w:rFonts w:ascii="Times New Roman" w:hAnsi="Times New Roman" w:cs="Times New Roman"/>
                <w:color w:val="auto"/>
                <w:sz w:val="18"/>
                <w:szCs w:val="18"/>
                <w:highlight w:val="none"/>
                <w:lang w:val="en-US"/>
              </w:rPr>
            </w:pPr>
          </w:p>
        </w:tc>
        <w:tc>
          <w:tcPr>
            <w:tcW w:w="580" w:type="dxa"/>
          </w:tcPr>
          <w:p>
            <w:pPr>
              <w:spacing w:after="0" w:line="240" w:lineRule="auto"/>
              <w:rPr>
                <w:rFonts w:ascii="Times New Roman" w:hAnsi="Times New Roman" w:cs="Times New Roman"/>
                <w:color w:val="auto"/>
                <w:sz w:val="18"/>
                <w:szCs w:val="18"/>
                <w:highlight w:val="none"/>
                <w:lang w:val="en-US"/>
              </w:rPr>
            </w:pPr>
            <w:r>
              <w:rPr>
                <w:rFonts w:ascii="Times New Roman" w:hAnsi="Times New Roman" w:cs="Times New Roman"/>
                <w:color w:val="auto"/>
                <w:sz w:val="18"/>
                <w:szCs w:val="18"/>
                <w:highlight w:val="none"/>
                <w:lang w:val="en-US"/>
              </w:rPr>
              <w:t>√</w:t>
            </w:r>
          </w:p>
        </w:tc>
        <w:tc>
          <w:tcPr>
            <w:tcW w:w="9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HR</w:t>
            </w:r>
          </w:p>
        </w:tc>
        <w:tc>
          <w:tcPr>
            <w:tcW w:w="1287" w:type="dxa"/>
          </w:tcPr>
          <w:p>
            <w:pPr>
              <w:spacing w:after="0" w:line="240" w:lineRule="auto"/>
              <w:rPr>
                <w:rFonts w:ascii="Times New Roman" w:hAnsi="Times New Roman" w:cs="Times New Roman"/>
                <w:color w:val="auto"/>
                <w:sz w:val="18"/>
                <w:szCs w:val="18"/>
                <w:highlight w:val="none"/>
                <w:lang w:val="en-GB"/>
              </w:rPr>
            </w:pPr>
            <w:r>
              <w:rPr>
                <w:rFonts w:ascii="Times New Roman" w:hAnsi="Times New Roman" w:cs="Times New Roman"/>
                <w:color w:val="auto"/>
                <w:sz w:val="18"/>
                <w:szCs w:val="18"/>
                <w:highlight w:val="none"/>
                <w:lang w:val="en-GB"/>
              </w:rPr>
              <w:t>BNDA</w:t>
            </w:r>
          </w:p>
        </w:tc>
      </w:tr>
    </w:tbl>
    <w:p>
      <w:pPr>
        <w:rPr>
          <w:rFonts w:ascii="Times New Roman" w:hAnsi="Times New Roman" w:eastAsia="Times New Roman" w:cs="Times New Roman"/>
          <w:b/>
          <w:bCs/>
          <w:color w:val="auto"/>
          <w:highlight w:val="none"/>
          <w:lang w:val="en-US"/>
        </w:rPr>
      </w:pPr>
      <w:r>
        <w:rPr>
          <w:rFonts w:ascii="Times New Roman" w:hAnsi="Times New Roman" w:cs="Times New Roman"/>
          <w:b/>
          <w:color w:val="auto"/>
          <w:sz w:val="24"/>
          <w:szCs w:val="24"/>
          <w:highlight w:val="none"/>
          <w:lang w:val="en-US"/>
        </w:rPr>
        <w:t xml:space="preserve">The total cost of 2023 Annual Action Plan is Ghc </w:t>
      </w:r>
      <w:r>
        <w:rPr>
          <w:rFonts w:ascii="Times New Roman" w:hAnsi="Times New Roman" w:eastAsia="Times New Roman" w:cs="Times New Roman"/>
          <w:b/>
          <w:bCs/>
          <w:color w:val="auto"/>
          <w:highlight w:val="none"/>
          <w:lang w:val="en-US"/>
        </w:rPr>
        <w:t>13,094,525.21</w:t>
      </w:r>
    </w:p>
    <w:p>
      <w:pPr>
        <w:rPr>
          <w:rFonts w:ascii="Times New Roman" w:hAnsi="Times New Roman" w:cs="Times New Roman"/>
          <w:b/>
          <w:color w:val="auto"/>
          <w:sz w:val="24"/>
          <w:szCs w:val="24"/>
          <w:highlight w:val="none"/>
          <w:lang w:val="en-US"/>
        </w:rPr>
      </w:pPr>
      <w:bookmarkStart w:id="3" w:name="_GoBack"/>
      <w:bookmarkEnd w:id="3"/>
    </w:p>
    <w:sectPr>
      <w:pgSz w:w="15840" w:h="12240" w:orient="landscape"/>
      <w:pgMar w:top="720" w:right="720" w:bottom="720" w:left="288" w:header="720" w:footer="720" w:gutter="0"/>
      <w:paperSrc w:first="7"/>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Yu Gothic"/>
    <w:panose1 w:val="00000000000000000000"/>
    <w:charset w:val="80"/>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Helvetica 65 Medium">
    <w:altName w:val="Arial Narrow"/>
    <w:panose1 w:val="00000000000000000000"/>
    <w:charset w:val="00"/>
    <w:family w:val="roman"/>
    <w:pitch w:val="default"/>
    <w:sig w:usb0="00000000" w:usb1="00000000" w:usb2="00000000" w:usb3="00000000" w:csb0="00000000" w:csb1="00000000"/>
  </w:font>
  <w:font w:name="等线">
    <w:altName w:val="Microsoft YaHei"/>
    <w:panose1 w:val="00000000000000000000"/>
    <w:charset w:val="80"/>
    <w:family w:val="roman"/>
    <w:pitch w:val="default"/>
    <w:sig w:usb0="00000000" w:usb1="00000000" w:usb2="00000000" w:usb3="00000000" w:csb0="00000000" w:csb1="00000000"/>
  </w:font>
  <w:font w:name="Gill Sans MT">
    <w:panose1 w:val="020B0502020104020203"/>
    <w:charset w:val="00"/>
    <w:family w:val="swiss"/>
    <w:pitch w:val="default"/>
    <w:sig w:usb0="00000003" w:usb1="00000000" w:usb2="00000000" w:usb3="00000000" w:csb0="20000003" w:csb1="00000000"/>
  </w:font>
  <w:font w:name="Helvetica 45 Light">
    <w:altName w:val="Arial Narrow"/>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Algerian">
    <w:panose1 w:val="04020705040A02060702"/>
    <w:charset w:val="00"/>
    <w:family w:val="decorative"/>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2634630"/>
      <w:docPartObj>
        <w:docPartGallery w:val="autotext"/>
      </w:docPartObj>
    </w:sdtPr>
    <w:sdtContent>
      <w:sdt>
        <w:sdtPr>
          <w:id w:val="-889270251"/>
          <w:docPartObj>
            <w:docPartGallery w:val="autotext"/>
          </w:docPartObj>
        </w:sdtPr>
        <w:sdtContent>
          <w:p>
            <w:pPr>
              <w:pStyle w:val="27"/>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53</w:t>
            </w:r>
            <w:r>
              <w:rPr>
                <w:b/>
                <w:bCs/>
                <w:sz w:val="24"/>
                <w:szCs w:val="24"/>
              </w:rPr>
              <w:fldChar w:fldCharType="end"/>
            </w:r>
          </w:p>
        </w:sdtContent>
      </w:sdt>
    </w:sdtContent>
  </w:sdt>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71345159"/>
      <w:docPartObj>
        <w:docPartGallery w:val="autotext"/>
      </w:docPartObj>
    </w:sdtPr>
    <w:sdtContent>
      <w:sdt>
        <w:sdtPr>
          <w:id w:val="-1769616900"/>
          <w:docPartObj>
            <w:docPartGallery w:val="autotext"/>
          </w:docPartObj>
        </w:sdtPr>
        <w:sdtContent>
          <w:p>
            <w:pPr>
              <w:pStyle w:val="27"/>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52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53</w:t>
            </w:r>
            <w:r>
              <w:rPr>
                <w:b/>
                <w:bCs/>
                <w:sz w:val="24"/>
                <w:szCs w:val="24"/>
              </w:rPr>
              <w:fldChar w:fldCharType="end"/>
            </w:r>
          </w:p>
        </w:sdtContent>
      </w:sdt>
    </w:sdtContent>
  </w:sdt>
  <w:p>
    <w:pPr>
      <w:pStyle w:val="2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51"/>
      <w:lvlText w:val=""/>
      <w:lvlJc w:val="left"/>
      <w:pPr>
        <w:tabs>
          <w:tab w:val="left" w:pos="-810"/>
        </w:tabs>
        <w:ind w:left="-810" w:hanging="360"/>
      </w:pPr>
      <w:rPr>
        <w:rFonts w:hint="default" w:ascii="Symbol" w:hAnsi="Symbol"/>
      </w:rPr>
    </w:lvl>
  </w:abstractNum>
  <w:abstractNum w:abstractNumId="1">
    <w:nsid w:val="FFFFFF89"/>
    <w:multiLevelType w:val="singleLevel"/>
    <w:tmpl w:val="FFFFFF89"/>
    <w:lvl w:ilvl="0" w:tentative="0">
      <w:start w:val="1"/>
      <w:numFmt w:val="bullet"/>
      <w:pStyle w:val="36"/>
      <w:lvlText w:val=""/>
      <w:lvlJc w:val="left"/>
      <w:pPr>
        <w:tabs>
          <w:tab w:val="left" w:pos="360"/>
        </w:tabs>
        <w:ind w:left="360" w:hanging="360"/>
      </w:pPr>
      <w:rPr>
        <w:rFonts w:hint="default" w:ascii="Symbol" w:hAnsi="Symbol"/>
      </w:rPr>
    </w:lvl>
  </w:abstractNum>
  <w:abstractNum w:abstractNumId="2">
    <w:nsid w:val="075049C0"/>
    <w:multiLevelType w:val="multilevel"/>
    <w:tmpl w:val="075049C0"/>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89D152A"/>
    <w:multiLevelType w:val="singleLevel"/>
    <w:tmpl w:val="089D152A"/>
    <w:lvl w:ilvl="0" w:tentative="0">
      <w:start w:val="1"/>
      <w:numFmt w:val="bullet"/>
      <w:pStyle w:val="155"/>
      <w:lvlText w:val=""/>
      <w:lvlJc w:val="left"/>
      <w:pPr>
        <w:tabs>
          <w:tab w:val="left" w:pos="360"/>
        </w:tabs>
        <w:ind w:left="360" w:hanging="360"/>
      </w:pPr>
      <w:rPr>
        <w:rFonts w:hint="default" w:ascii="Symbol" w:hAnsi="Symbol"/>
      </w:rPr>
    </w:lvl>
  </w:abstractNum>
  <w:abstractNum w:abstractNumId="4">
    <w:nsid w:val="10AD5DAF"/>
    <w:multiLevelType w:val="multilevel"/>
    <w:tmpl w:val="10AD5DAF"/>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ascii="Times New Roman" w:hAnsi="Times New Roman" w:cs="Times New Roman"/>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5">
    <w:nsid w:val="29555A7A"/>
    <w:multiLevelType w:val="multilevel"/>
    <w:tmpl w:val="29555A7A"/>
    <w:lvl w:ilvl="0" w:tentative="0">
      <w:start w:val="12"/>
      <w:numFmt w:val="decimal"/>
      <w:lvlText w:val="%1"/>
      <w:lvlJc w:val="left"/>
      <w:pPr>
        <w:ind w:left="420" w:hanging="420"/>
      </w:pPr>
      <w:rPr>
        <w:rFonts w:hint="default"/>
      </w:rPr>
    </w:lvl>
    <w:lvl w:ilvl="1" w:tentative="0">
      <w:start w:val="1"/>
      <w:numFmt w:val="bullet"/>
      <w:lvlText w:val=""/>
      <w:lvlJc w:val="left"/>
      <w:pPr>
        <w:ind w:left="420" w:hanging="420"/>
      </w:pPr>
      <w:rPr>
        <w:rFonts w:hint="default" w:ascii="Wingdings" w:hAnsi="Wingding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55306A36"/>
    <w:multiLevelType w:val="multilevel"/>
    <w:tmpl w:val="55306A36"/>
    <w:lvl w:ilvl="0" w:tentative="0">
      <w:start w:val="6"/>
      <w:numFmt w:val="decimal"/>
      <w:lvlText w:val="%1"/>
      <w:lvlJc w:val="left"/>
      <w:pPr>
        <w:ind w:left="360" w:hanging="360"/>
      </w:pPr>
      <w:rPr>
        <w:rFonts w:hint="default"/>
      </w:rPr>
    </w:lvl>
    <w:lvl w:ilvl="1" w:tentative="0">
      <w:start w:val="2"/>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7">
    <w:nsid w:val="582B2E74"/>
    <w:multiLevelType w:val="multilevel"/>
    <w:tmpl w:val="582B2E74"/>
    <w:lvl w:ilvl="0" w:tentative="0">
      <w:start w:val="1"/>
      <w:numFmt w:val="bullet"/>
      <w:lvlText w:val=""/>
      <w:lvlJc w:val="left"/>
      <w:pPr>
        <w:tabs>
          <w:tab w:val="left" w:pos="720"/>
        </w:tabs>
        <w:ind w:left="720" w:hanging="36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64804B31"/>
    <w:multiLevelType w:val="multilevel"/>
    <w:tmpl w:val="64804B31"/>
    <w:lvl w:ilvl="0" w:tentative="0">
      <w:start w:val="1"/>
      <w:numFmt w:val="low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674215CB"/>
    <w:multiLevelType w:val="multilevel"/>
    <w:tmpl w:val="674215C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45B162D"/>
    <w:multiLevelType w:val="multilevel"/>
    <w:tmpl w:val="745B162D"/>
    <w:lvl w:ilvl="0" w:tentative="0">
      <w:start w:val="1"/>
      <w:numFmt w:val="bullet"/>
      <w:lvlText w:val=""/>
      <w:lvlJc w:val="left"/>
      <w:pPr>
        <w:tabs>
          <w:tab w:val="left" w:pos="720"/>
        </w:tabs>
        <w:ind w:left="720"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79A32CE0"/>
    <w:multiLevelType w:val="multilevel"/>
    <w:tmpl w:val="79A32CE0"/>
    <w:lvl w:ilvl="0" w:tentative="0">
      <w:start w:val="1"/>
      <w:numFmt w:val="upperLetter"/>
      <w:lvlText w:val="%1."/>
      <w:lvlJc w:val="left"/>
      <w:pPr>
        <w:ind w:left="360" w:hanging="360"/>
      </w:pPr>
      <w:rPr>
        <w:rFonts w:hint="default"/>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
  </w:num>
  <w:num w:numId="2">
    <w:abstractNumId w:val="0"/>
  </w:num>
  <w:num w:numId="3">
    <w:abstractNumId w:val="3"/>
  </w:num>
  <w:num w:numId="4">
    <w:abstractNumId w:val="8"/>
  </w:num>
  <w:num w:numId="5">
    <w:abstractNumId w:val="4"/>
  </w:num>
  <w:num w:numId="6">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124"/>
    <w:rsid w:val="00001BC1"/>
    <w:rsid w:val="00010735"/>
    <w:rsid w:val="000115C4"/>
    <w:rsid w:val="00016F5B"/>
    <w:rsid w:val="00021AF1"/>
    <w:rsid w:val="000247C0"/>
    <w:rsid w:val="00025FDF"/>
    <w:rsid w:val="0003581D"/>
    <w:rsid w:val="00040BD5"/>
    <w:rsid w:val="000411E3"/>
    <w:rsid w:val="00045326"/>
    <w:rsid w:val="00046010"/>
    <w:rsid w:val="0005223A"/>
    <w:rsid w:val="00053CD0"/>
    <w:rsid w:val="000552E3"/>
    <w:rsid w:val="0005534A"/>
    <w:rsid w:val="00055D93"/>
    <w:rsid w:val="00056C4C"/>
    <w:rsid w:val="000600F3"/>
    <w:rsid w:val="00062F0D"/>
    <w:rsid w:val="00062FDE"/>
    <w:rsid w:val="00064FC9"/>
    <w:rsid w:val="000814B5"/>
    <w:rsid w:val="00081E3E"/>
    <w:rsid w:val="00093443"/>
    <w:rsid w:val="00093896"/>
    <w:rsid w:val="0009685D"/>
    <w:rsid w:val="000A3B20"/>
    <w:rsid w:val="000D10B1"/>
    <w:rsid w:val="000D13E0"/>
    <w:rsid w:val="000E0018"/>
    <w:rsid w:val="000E28F4"/>
    <w:rsid w:val="000E6B48"/>
    <w:rsid w:val="000F1F63"/>
    <w:rsid w:val="000F2E2F"/>
    <w:rsid w:val="000F4D26"/>
    <w:rsid w:val="001012B1"/>
    <w:rsid w:val="00107D83"/>
    <w:rsid w:val="001137AC"/>
    <w:rsid w:val="001257BE"/>
    <w:rsid w:val="00133AB3"/>
    <w:rsid w:val="00141721"/>
    <w:rsid w:val="00147441"/>
    <w:rsid w:val="00151E5A"/>
    <w:rsid w:val="00153E92"/>
    <w:rsid w:val="001556AB"/>
    <w:rsid w:val="0016025E"/>
    <w:rsid w:val="00166F33"/>
    <w:rsid w:val="00175121"/>
    <w:rsid w:val="00181C13"/>
    <w:rsid w:val="00182605"/>
    <w:rsid w:val="001854BC"/>
    <w:rsid w:val="001869B1"/>
    <w:rsid w:val="0019260E"/>
    <w:rsid w:val="0019339F"/>
    <w:rsid w:val="001954DA"/>
    <w:rsid w:val="0019585E"/>
    <w:rsid w:val="00195B45"/>
    <w:rsid w:val="00197D00"/>
    <w:rsid w:val="001B208E"/>
    <w:rsid w:val="001B7468"/>
    <w:rsid w:val="001C5572"/>
    <w:rsid w:val="001C6AAA"/>
    <w:rsid w:val="001C7382"/>
    <w:rsid w:val="001D1068"/>
    <w:rsid w:val="001D2760"/>
    <w:rsid w:val="001D6203"/>
    <w:rsid w:val="001E4B12"/>
    <w:rsid w:val="001E5FDF"/>
    <w:rsid w:val="002006EF"/>
    <w:rsid w:val="00202B5A"/>
    <w:rsid w:val="00207285"/>
    <w:rsid w:val="002072CD"/>
    <w:rsid w:val="0021048E"/>
    <w:rsid w:val="00211057"/>
    <w:rsid w:val="00213B3C"/>
    <w:rsid w:val="00214CAE"/>
    <w:rsid w:val="00215222"/>
    <w:rsid w:val="00223C21"/>
    <w:rsid w:val="00224508"/>
    <w:rsid w:val="00226B6A"/>
    <w:rsid w:val="002345C5"/>
    <w:rsid w:val="00236FC8"/>
    <w:rsid w:val="002452A8"/>
    <w:rsid w:val="002612A7"/>
    <w:rsid w:val="0027052F"/>
    <w:rsid w:val="00271EA0"/>
    <w:rsid w:val="00275796"/>
    <w:rsid w:val="00280E4D"/>
    <w:rsid w:val="00281CBF"/>
    <w:rsid w:val="00291E15"/>
    <w:rsid w:val="002A0254"/>
    <w:rsid w:val="002A0ED1"/>
    <w:rsid w:val="002A2831"/>
    <w:rsid w:val="002A64CA"/>
    <w:rsid w:val="002A7115"/>
    <w:rsid w:val="002B1F9E"/>
    <w:rsid w:val="002B60BC"/>
    <w:rsid w:val="002B64BF"/>
    <w:rsid w:val="002D1A7C"/>
    <w:rsid w:val="002D1B9C"/>
    <w:rsid w:val="002D6715"/>
    <w:rsid w:val="002F614B"/>
    <w:rsid w:val="002F6A21"/>
    <w:rsid w:val="002F6B2C"/>
    <w:rsid w:val="00302EC1"/>
    <w:rsid w:val="00303D53"/>
    <w:rsid w:val="00305B68"/>
    <w:rsid w:val="0031088C"/>
    <w:rsid w:val="00311A28"/>
    <w:rsid w:val="00312821"/>
    <w:rsid w:val="00314C91"/>
    <w:rsid w:val="00322BB3"/>
    <w:rsid w:val="00324641"/>
    <w:rsid w:val="00332689"/>
    <w:rsid w:val="00340667"/>
    <w:rsid w:val="003436B2"/>
    <w:rsid w:val="003450AF"/>
    <w:rsid w:val="00355DF4"/>
    <w:rsid w:val="00357433"/>
    <w:rsid w:val="00362D16"/>
    <w:rsid w:val="00364B16"/>
    <w:rsid w:val="00372203"/>
    <w:rsid w:val="003765F0"/>
    <w:rsid w:val="003769FB"/>
    <w:rsid w:val="003A0BBB"/>
    <w:rsid w:val="003A588C"/>
    <w:rsid w:val="003A59BF"/>
    <w:rsid w:val="003A6F96"/>
    <w:rsid w:val="003A7677"/>
    <w:rsid w:val="003B27E7"/>
    <w:rsid w:val="003B5BA5"/>
    <w:rsid w:val="003C0863"/>
    <w:rsid w:val="003C3807"/>
    <w:rsid w:val="003D001B"/>
    <w:rsid w:val="003D05A9"/>
    <w:rsid w:val="003E3BDC"/>
    <w:rsid w:val="003E5B8F"/>
    <w:rsid w:val="003E60CB"/>
    <w:rsid w:val="003F0429"/>
    <w:rsid w:val="003F4E81"/>
    <w:rsid w:val="00424461"/>
    <w:rsid w:val="0042528D"/>
    <w:rsid w:val="00432B67"/>
    <w:rsid w:val="00436ADF"/>
    <w:rsid w:val="00440725"/>
    <w:rsid w:val="00451EE0"/>
    <w:rsid w:val="004525DA"/>
    <w:rsid w:val="004719B4"/>
    <w:rsid w:val="00481672"/>
    <w:rsid w:val="004859A3"/>
    <w:rsid w:val="00492597"/>
    <w:rsid w:val="00495994"/>
    <w:rsid w:val="00497F94"/>
    <w:rsid w:val="004A1F81"/>
    <w:rsid w:val="004A2315"/>
    <w:rsid w:val="004A6795"/>
    <w:rsid w:val="004C1DC6"/>
    <w:rsid w:val="004C3481"/>
    <w:rsid w:val="004C3851"/>
    <w:rsid w:val="004C5446"/>
    <w:rsid w:val="004C5E1A"/>
    <w:rsid w:val="004C767B"/>
    <w:rsid w:val="004D1C10"/>
    <w:rsid w:val="004D2334"/>
    <w:rsid w:val="004D245D"/>
    <w:rsid w:val="004D62C6"/>
    <w:rsid w:val="004E040D"/>
    <w:rsid w:val="004E7AA7"/>
    <w:rsid w:val="004F0D1B"/>
    <w:rsid w:val="004F2D1F"/>
    <w:rsid w:val="004F2D24"/>
    <w:rsid w:val="004F6B91"/>
    <w:rsid w:val="004F6FC8"/>
    <w:rsid w:val="00502129"/>
    <w:rsid w:val="00502E36"/>
    <w:rsid w:val="00505697"/>
    <w:rsid w:val="00505F8D"/>
    <w:rsid w:val="00517A3B"/>
    <w:rsid w:val="00522C74"/>
    <w:rsid w:val="0052360E"/>
    <w:rsid w:val="00530D73"/>
    <w:rsid w:val="005339B9"/>
    <w:rsid w:val="005448F5"/>
    <w:rsid w:val="00557D15"/>
    <w:rsid w:val="00560897"/>
    <w:rsid w:val="00560D99"/>
    <w:rsid w:val="00564B7F"/>
    <w:rsid w:val="00567B85"/>
    <w:rsid w:val="00587C81"/>
    <w:rsid w:val="00592FA0"/>
    <w:rsid w:val="00593683"/>
    <w:rsid w:val="005A6355"/>
    <w:rsid w:val="005B6274"/>
    <w:rsid w:val="005B7F62"/>
    <w:rsid w:val="005C18C6"/>
    <w:rsid w:val="005D7BFD"/>
    <w:rsid w:val="005E4C4C"/>
    <w:rsid w:val="005E764D"/>
    <w:rsid w:val="005F089E"/>
    <w:rsid w:val="005F2B1F"/>
    <w:rsid w:val="005F4E5A"/>
    <w:rsid w:val="0060263C"/>
    <w:rsid w:val="0061141A"/>
    <w:rsid w:val="00621797"/>
    <w:rsid w:val="00621BA5"/>
    <w:rsid w:val="006358FA"/>
    <w:rsid w:val="006549BD"/>
    <w:rsid w:val="00656953"/>
    <w:rsid w:val="00662115"/>
    <w:rsid w:val="00664663"/>
    <w:rsid w:val="00670AA3"/>
    <w:rsid w:val="006733F9"/>
    <w:rsid w:val="00674C86"/>
    <w:rsid w:val="00682E8E"/>
    <w:rsid w:val="00683837"/>
    <w:rsid w:val="006845A5"/>
    <w:rsid w:val="00686E7E"/>
    <w:rsid w:val="00687596"/>
    <w:rsid w:val="00691947"/>
    <w:rsid w:val="006960F0"/>
    <w:rsid w:val="006A2B83"/>
    <w:rsid w:val="006A32FA"/>
    <w:rsid w:val="006A6C7D"/>
    <w:rsid w:val="006A77C2"/>
    <w:rsid w:val="006B1769"/>
    <w:rsid w:val="006B37EA"/>
    <w:rsid w:val="006B3A85"/>
    <w:rsid w:val="006B4E55"/>
    <w:rsid w:val="006C0488"/>
    <w:rsid w:val="006C24CB"/>
    <w:rsid w:val="006C6372"/>
    <w:rsid w:val="006D1BFF"/>
    <w:rsid w:val="006D3ACF"/>
    <w:rsid w:val="006D3FFE"/>
    <w:rsid w:val="006D47F9"/>
    <w:rsid w:val="006D6223"/>
    <w:rsid w:val="006E6A04"/>
    <w:rsid w:val="006F15E4"/>
    <w:rsid w:val="006F37B4"/>
    <w:rsid w:val="00700AF2"/>
    <w:rsid w:val="00701BA5"/>
    <w:rsid w:val="007076B7"/>
    <w:rsid w:val="00707EB7"/>
    <w:rsid w:val="00710B46"/>
    <w:rsid w:val="00712C14"/>
    <w:rsid w:val="007132D1"/>
    <w:rsid w:val="00716999"/>
    <w:rsid w:val="007200FB"/>
    <w:rsid w:val="00722610"/>
    <w:rsid w:val="0072503F"/>
    <w:rsid w:val="0073501E"/>
    <w:rsid w:val="00747374"/>
    <w:rsid w:val="00752CE5"/>
    <w:rsid w:val="00766678"/>
    <w:rsid w:val="007728B9"/>
    <w:rsid w:val="00773F09"/>
    <w:rsid w:val="00777464"/>
    <w:rsid w:val="0077760F"/>
    <w:rsid w:val="007843F4"/>
    <w:rsid w:val="00790782"/>
    <w:rsid w:val="007B092A"/>
    <w:rsid w:val="007C2D85"/>
    <w:rsid w:val="007D314F"/>
    <w:rsid w:val="007D5F3A"/>
    <w:rsid w:val="007F0989"/>
    <w:rsid w:val="007F2AB0"/>
    <w:rsid w:val="007F2F0C"/>
    <w:rsid w:val="007F42C5"/>
    <w:rsid w:val="007F7D3E"/>
    <w:rsid w:val="008025AB"/>
    <w:rsid w:val="00802D22"/>
    <w:rsid w:val="00804AE8"/>
    <w:rsid w:val="00805029"/>
    <w:rsid w:val="00805E56"/>
    <w:rsid w:val="00805E6C"/>
    <w:rsid w:val="00811371"/>
    <w:rsid w:val="008164A2"/>
    <w:rsid w:val="008255C5"/>
    <w:rsid w:val="00826124"/>
    <w:rsid w:val="00826F7A"/>
    <w:rsid w:val="00842532"/>
    <w:rsid w:val="008432BD"/>
    <w:rsid w:val="00843B39"/>
    <w:rsid w:val="0084428D"/>
    <w:rsid w:val="00871A7F"/>
    <w:rsid w:val="00872158"/>
    <w:rsid w:val="00877EDB"/>
    <w:rsid w:val="00890B63"/>
    <w:rsid w:val="008924F1"/>
    <w:rsid w:val="0089422C"/>
    <w:rsid w:val="0089501B"/>
    <w:rsid w:val="008A505D"/>
    <w:rsid w:val="008C1E9A"/>
    <w:rsid w:val="008C6FEB"/>
    <w:rsid w:val="008C7DF6"/>
    <w:rsid w:val="008D144C"/>
    <w:rsid w:val="008D47BD"/>
    <w:rsid w:val="008D5AA7"/>
    <w:rsid w:val="008D7281"/>
    <w:rsid w:val="008E0247"/>
    <w:rsid w:val="008F140D"/>
    <w:rsid w:val="008F260A"/>
    <w:rsid w:val="008F50CD"/>
    <w:rsid w:val="0090338B"/>
    <w:rsid w:val="009139F5"/>
    <w:rsid w:val="00916555"/>
    <w:rsid w:val="00921EE6"/>
    <w:rsid w:val="009241E5"/>
    <w:rsid w:val="00927AD7"/>
    <w:rsid w:val="00934DFF"/>
    <w:rsid w:val="00935B46"/>
    <w:rsid w:val="00937BFA"/>
    <w:rsid w:val="00941CE7"/>
    <w:rsid w:val="009435F0"/>
    <w:rsid w:val="00945A06"/>
    <w:rsid w:val="009511C2"/>
    <w:rsid w:val="00960AA8"/>
    <w:rsid w:val="00960B75"/>
    <w:rsid w:val="00963DA6"/>
    <w:rsid w:val="00970F1B"/>
    <w:rsid w:val="00973ED2"/>
    <w:rsid w:val="009747E0"/>
    <w:rsid w:val="009752B7"/>
    <w:rsid w:val="009769CA"/>
    <w:rsid w:val="009827AB"/>
    <w:rsid w:val="00983763"/>
    <w:rsid w:val="00984789"/>
    <w:rsid w:val="00990E8D"/>
    <w:rsid w:val="009925C7"/>
    <w:rsid w:val="009976D0"/>
    <w:rsid w:val="009A0E46"/>
    <w:rsid w:val="009A519A"/>
    <w:rsid w:val="009B238B"/>
    <w:rsid w:val="009B30A7"/>
    <w:rsid w:val="009C0438"/>
    <w:rsid w:val="009C1B8E"/>
    <w:rsid w:val="009C2BAC"/>
    <w:rsid w:val="009C4114"/>
    <w:rsid w:val="009C7D43"/>
    <w:rsid w:val="009D7BD5"/>
    <w:rsid w:val="009E1C28"/>
    <w:rsid w:val="009E77E5"/>
    <w:rsid w:val="009F1496"/>
    <w:rsid w:val="00A15406"/>
    <w:rsid w:val="00A17691"/>
    <w:rsid w:val="00A25D66"/>
    <w:rsid w:val="00A25E9E"/>
    <w:rsid w:val="00A401A1"/>
    <w:rsid w:val="00A415AA"/>
    <w:rsid w:val="00A46A31"/>
    <w:rsid w:val="00A5152C"/>
    <w:rsid w:val="00A62C17"/>
    <w:rsid w:val="00A65687"/>
    <w:rsid w:val="00A72693"/>
    <w:rsid w:val="00A72A5C"/>
    <w:rsid w:val="00A730C0"/>
    <w:rsid w:val="00A73EB9"/>
    <w:rsid w:val="00A763FA"/>
    <w:rsid w:val="00A76C94"/>
    <w:rsid w:val="00A809DA"/>
    <w:rsid w:val="00A863FB"/>
    <w:rsid w:val="00A9067E"/>
    <w:rsid w:val="00A90842"/>
    <w:rsid w:val="00A97C39"/>
    <w:rsid w:val="00AB3B73"/>
    <w:rsid w:val="00AC02C8"/>
    <w:rsid w:val="00AC206E"/>
    <w:rsid w:val="00AC5F7C"/>
    <w:rsid w:val="00AC6D58"/>
    <w:rsid w:val="00AD0B43"/>
    <w:rsid w:val="00AD32AE"/>
    <w:rsid w:val="00AD4437"/>
    <w:rsid w:val="00AD6736"/>
    <w:rsid w:val="00AE19B0"/>
    <w:rsid w:val="00B115A4"/>
    <w:rsid w:val="00B163FB"/>
    <w:rsid w:val="00B2114F"/>
    <w:rsid w:val="00B313BA"/>
    <w:rsid w:val="00B515A3"/>
    <w:rsid w:val="00B559BC"/>
    <w:rsid w:val="00B653BC"/>
    <w:rsid w:val="00B70CF0"/>
    <w:rsid w:val="00B7481D"/>
    <w:rsid w:val="00B77129"/>
    <w:rsid w:val="00B77F4C"/>
    <w:rsid w:val="00B918EB"/>
    <w:rsid w:val="00B91B50"/>
    <w:rsid w:val="00B92EC0"/>
    <w:rsid w:val="00B95023"/>
    <w:rsid w:val="00BA232C"/>
    <w:rsid w:val="00BB06ED"/>
    <w:rsid w:val="00BB6ABD"/>
    <w:rsid w:val="00BC10D8"/>
    <w:rsid w:val="00BD2660"/>
    <w:rsid w:val="00BE315A"/>
    <w:rsid w:val="00BE4CB1"/>
    <w:rsid w:val="00BF2A58"/>
    <w:rsid w:val="00C006D5"/>
    <w:rsid w:val="00C02640"/>
    <w:rsid w:val="00C07F56"/>
    <w:rsid w:val="00C15BE8"/>
    <w:rsid w:val="00C31679"/>
    <w:rsid w:val="00C35AA6"/>
    <w:rsid w:val="00C46238"/>
    <w:rsid w:val="00C56DC6"/>
    <w:rsid w:val="00C7377B"/>
    <w:rsid w:val="00C9026A"/>
    <w:rsid w:val="00C9296A"/>
    <w:rsid w:val="00C94278"/>
    <w:rsid w:val="00CA0041"/>
    <w:rsid w:val="00CA16BB"/>
    <w:rsid w:val="00CA5F68"/>
    <w:rsid w:val="00CB13EC"/>
    <w:rsid w:val="00CB7312"/>
    <w:rsid w:val="00CC0E49"/>
    <w:rsid w:val="00CC3C0D"/>
    <w:rsid w:val="00CC524F"/>
    <w:rsid w:val="00CD10D2"/>
    <w:rsid w:val="00CD4B95"/>
    <w:rsid w:val="00CE2125"/>
    <w:rsid w:val="00CE2B80"/>
    <w:rsid w:val="00CE417E"/>
    <w:rsid w:val="00CE5EB0"/>
    <w:rsid w:val="00D0732F"/>
    <w:rsid w:val="00D22CF9"/>
    <w:rsid w:val="00D27C47"/>
    <w:rsid w:val="00D32C4B"/>
    <w:rsid w:val="00D666A9"/>
    <w:rsid w:val="00D81FCD"/>
    <w:rsid w:val="00D83277"/>
    <w:rsid w:val="00D860AE"/>
    <w:rsid w:val="00DB0DB9"/>
    <w:rsid w:val="00DB7C27"/>
    <w:rsid w:val="00DC7D76"/>
    <w:rsid w:val="00DD2BEF"/>
    <w:rsid w:val="00DD4435"/>
    <w:rsid w:val="00DD70FB"/>
    <w:rsid w:val="00DD74B4"/>
    <w:rsid w:val="00DE16F6"/>
    <w:rsid w:val="00DE32BB"/>
    <w:rsid w:val="00DF2ACD"/>
    <w:rsid w:val="00DF46F1"/>
    <w:rsid w:val="00E06211"/>
    <w:rsid w:val="00E15A12"/>
    <w:rsid w:val="00E20C73"/>
    <w:rsid w:val="00E21D72"/>
    <w:rsid w:val="00E26BBE"/>
    <w:rsid w:val="00E30337"/>
    <w:rsid w:val="00E3206B"/>
    <w:rsid w:val="00E367E6"/>
    <w:rsid w:val="00E37812"/>
    <w:rsid w:val="00E4307B"/>
    <w:rsid w:val="00E44DBF"/>
    <w:rsid w:val="00E50242"/>
    <w:rsid w:val="00E510D9"/>
    <w:rsid w:val="00E5589E"/>
    <w:rsid w:val="00E55E5D"/>
    <w:rsid w:val="00E56A9D"/>
    <w:rsid w:val="00E656FA"/>
    <w:rsid w:val="00E74CE8"/>
    <w:rsid w:val="00E84C25"/>
    <w:rsid w:val="00E853D6"/>
    <w:rsid w:val="00E92848"/>
    <w:rsid w:val="00E97A1D"/>
    <w:rsid w:val="00EA3101"/>
    <w:rsid w:val="00EA33B9"/>
    <w:rsid w:val="00EB14E9"/>
    <w:rsid w:val="00EB5236"/>
    <w:rsid w:val="00EB57DC"/>
    <w:rsid w:val="00EC66A3"/>
    <w:rsid w:val="00EC7768"/>
    <w:rsid w:val="00ED0109"/>
    <w:rsid w:val="00ED45F4"/>
    <w:rsid w:val="00ED6EFA"/>
    <w:rsid w:val="00ED79D5"/>
    <w:rsid w:val="00EE2853"/>
    <w:rsid w:val="00EF0008"/>
    <w:rsid w:val="00F020C6"/>
    <w:rsid w:val="00F02F3C"/>
    <w:rsid w:val="00F062DA"/>
    <w:rsid w:val="00F15E3F"/>
    <w:rsid w:val="00F165E2"/>
    <w:rsid w:val="00F2125D"/>
    <w:rsid w:val="00F21927"/>
    <w:rsid w:val="00F23D54"/>
    <w:rsid w:val="00F24AA9"/>
    <w:rsid w:val="00F26EA8"/>
    <w:rsid w:val="00F2756E"/>
    <w:rsid w:val="00F33726"/>
    <w:rsid w:val="00F46E1B"/>
    <w:rsid w:val="00F655B0"/>
    <w:rsid w:val="00F65E86"/>
    <w:rsid w:val="00F67DA4"/>
    <w:rsid w:val="00F777DD"/>
    <w:rsid w:val="00F90660"/>
    <w:rsid w:val="00FA2C31"/>
    <w:rsid w:val="00FB70FE"/>
    <w:rsid w:val="00FC368D"/>
    <w:rsid w:val="00FD21D1"/>
    <w:rsid w:val="00FD3238"/>
    <w:rsid w:val="00FE052F"/>
    <w:rsid w:val="00FE1E72"/>
    <w:rsid w:val="00FE41DC"/>
    <w:rsid w:val="00FF2E8D"/>
    <w:rsid w:val="00FF3634"/>
    <w:rsid w:val="326F4FA7"/>
    <w:rsid w:val="437F5AFE"/>
    <w:rsid w:val="4CAA0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nhideWhenUsed="0" w:uiPriority="99" w:semiHidden="0"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99"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qFormat="1" w:uiPriority="99" w:semiHidden="0" w:name="Body Text"/>
    <w:lsdException w:qFormat="1"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qFormat="1" w:uiPriority="99"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qFormat="1" w:unhideWhenUsed="0" w:uiPriority="0" w:semiHidden="0" w:name="Table Web 1"/>
    <w:lsdException w:qFormat="1" w:uiPriority="99" w:name="Table Web 2"/>
    <w:lsdException w:qFormat="1" w:uiPriority="99" w:name="Table Web 3"/>
    <w:lsdException w:qFormat="1" w:uiPriority="99" w:semiHidden="0" w:name="Balloon Text"/>
    <w:lsdException w:qFormat="1" w:unhideWhenUsed="0" w:uiPriority="0" w:semiHidden="0" w:name="Table Grid"/>
    <w:lsdException w:qFormat="1"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de-DE" w:eastAsia="en-US" w:bidi="ar-SA"/>
    </w:rPr>
  </w:style>
  <w:style w:type="paragraph" w:styleId="2">
    <w:name w:val="heading 1"/>
    <w:basedOn w:val="1"/>
    <w:next w:val="1"/>
    <w:link w:val="67"/>
    <w:qFormat/>
    <w:uiPriority w:val="9"/>
    <w:pPr>
      <w:keepNext/>
      <w:keepLines/>
      <w:spacing w:before="240" w:after="0"/>
      <w:jc w:val="center"/>
      <w:outlineLvl w:val="0"/>
    </w:pPr>
    <w:rPr>
      <w:rFonts w:asciiTheme="majorHAnsi" w:hAnsiTheme="majorHAnsi" w:eastAsiaTheme="majorEastAsia" w:cstheme="majorBidi"/>
      <w:b/>
      <w:sz w:val="28"/>
      <w:szCs w:val="32"/>
      <w:lang w:val="en-US"/>
    </w:rPr>
  </w:style>
  <w:style w:type="paragraph" w:styleId="3">
    <w:name w:val="heading 2"/>
    <w:basedOn w:val="1"/>
    <w:next w:val="1"/>
    <w:link w:val="68"/>
    <w:unhideWhenUsed/>
    <w:qFormat/>
    <w:uiPriority w:val="0"/>
    <w:pPr>
      <w:keepNext/>
      <w:keepLines/>
      <w:spacing w:before="40" w:after="0"/>
      <w:outlineLvl w:val="1"/>
    </w:pPr>
    <w:rPr>
      <w:rFonts w:asciiTheme="majorHAnsi" w:hAnsiTheme="majorHAnsi" w:eastAsiaTheme="majorEastAsia" w:cstheme="majorBidi"/>
      <w:b/>
      <w:sz w:val="28"/>
      <w:szCs w:val="26"/>
      <w:lang w:val="en-US"/>
    </w:rPr>
  </w:style>
  <w:style w:type="paragraph" w:styleId="4">
    <w:name w:val="heading 3"/>
    <w:basedOn w:val="1"/>
    <w:next w:val="1"/>
    <w:link w:val="69"/>
    <w:unhideWhenUsed/>
    <w:qFormat/>
    <w:uiPriority w:val="0"/>
    <w:pPr>
      <w:keepNext/>
      <w:keepLines/>
      <w:spacing w:before="40" w:after="0"/>
      <w:outlineLvl w:val="2"/>
    </w:pPr>
    <w:rPr>
      <w:rFonts w:asciiTheme="majorHAnsi" w:hAnsiTheme="majorHAnsi" w:eastAsiaTheme="majorEastAsia" w:cstheme="majorBidi"/>
      <w:b/>
      <w:sz w:val="24"/>
      <w:szCs w:val="24"/>
      <w:lang w:val="en-US"/>
    </w:rPr>
  </w:style>
  <w:style w:type="paragraph" w:styleId="5">
    <w:name w:val="heading 4"/>
    <w:basedOn w:val="1"/>
    <w:next w:val="1"/>
    <w:link w:val="70"/>
    <w:unhideWhenUsed/>
    <w:qFormat/>
    <w:uiPriority w:val="0"/>
    <w:pPr>
      <w:keepNext/>
      <w:keepLines/>
      <w:spacing w:before="40" w:after="0"/>
      <w:outlineLvl w:val="3"/>
    </w:pPr>
    <w:rPr>
      <w:rFonts w:asciiTheme="majorHAnsi" w:hAnsiTheme="majorHAnsi" w:eastAsiaTheme="majorEastAsia" w:cstheme="majorBidi"/>
      <w:i/>
      <w:iCs/>
      <w:color w:val="2E75B6" w:themeColor="accent1" w:themeShade="BF"/>
      <w:lang w:val="en-US"/>
    </w:rPr>
  </w:style>
  <w:style w:type="paragraph" w:styleId="6">
    <w:name w:val="heading 5"/>
    <w:next w:val="1"/>
    <w:link w:val="71"/>
    <w:unhideWhenUsed/>
    <w:qFormat/>
    <w:uiPriority w:val="9"/>
    <w:pPr>
      <w:keepNext/>
      <w:keepLines/>
      <w:spacing w:after="3" w:line="259" w:lineRule="auto"/>
      <w:ind w:left="20" w:hanging="10"/>
      <w:outlineLvl w:val="4"/>
    </w:pPr>
    <w:rPr>
      <w:rFonts w:eastAsia="Cambria" w:cs="Cambria" w:asciiTheme="majorHAnsi" w:hAnsiTheme="majorHAnsi"/>
      <w:color w:val="000000"/>
      <w:sz w:val="24"/>
      <w:szCs w:val="22"/>
      <w:lang w:val="en-US" w:eastAsia="en-US" w:bidi="ar-SA"/>
    </w:rPr>
  </w:style>
  <w:style w:type="paragraph" w:styleId="7">
    <w:name w:val="heading 6"/>
    <w:basedOn w:val="1"/>
    <w:next w:val="1"/>
    <w:link w:val="72"/>
    <w:unhideWhenUsed/>
    <w:qFormat/>
    <w:uiPriority w:val="0"/>
    <w:pPr>
      <w:keepNext/>
      <w:keepLines/>
      <w:spacing w:before="40" w:after="0"/>
      <w:outlineLvl w:val="5"/>
    </w:pPr>
    <w:rPr>
      <w:rFonts w:asciiTheme="majorHAnsi" w:hAnsiTheme="majorHAnsi" w:eastAsiaTheme="majorEastAsia" w:cstheme="majorBidi"/>
      <w:color w:val="1F4E79" w:themeColor="accent1" w:themeShade="80"/>
      <w:lang w:val="en-US"/>
    </w:rPr>
  </w:style>
  <w:style w:type="paragraph" w:styleId="8">
    <w:name w:val="heading 7"/>
    <w:basedOn w:val="1"/>
    <w:next w:val="1"/>
    <w:link w:val="73"/>
    <w:unhideWhenUsed/>
    <w:qFormat/>
    <w:uiPriority w:val="0"/>
    <w:pPr>
      <w:keepNext/>
      <w:keepLines/>
      <w:spacing w:before="40" w:after="0"/>
      <w:outlineLvl w:val="6"/>
    </w:pPr>
    <w:rPr>
      <w:rFonts w:asciiTheme="majorHAnsi" w:hAnsiTheme="majorHAnsi" w:eastAsiaTheme="majorEastAsia" w:cstheme="majorBidi"/>
      <w:i/>
      <w:iCs/>
      <w:color w:val="1F4E79" w:themeColor="accent1" w:themeShade="80"/>
      <w:lang w:val="en-US"/>
    </w:rPr>
  </w:style>
  <w:style w:type="paragraph" w:styleId="9">
    <w:name w:val="heading 8"/>
    <w:next w:val="1"/>
    <w:link w:val="74"/>
    <w:unhideWhenUsed/>
    <w:qFormat/>
    <w:uiPriority w:val="0"/>
    <w:pPr>
      <w:keepNext/>
      <w:keepLines/>
      <w:spacing w:after="3" w:line="259" w:lineRule="auto"/>
      <w:ind w:left="20" w:hanging="10"/>
      <w:outlineLvl w:val="7"/>
    </w:pPr>
    <w:rPr>
      <w:rFonts w:ascii="Cambria" w:hAnsi="Cambria" w:eastAsia="Cambria" w:cs="Cambria"/>
      <w:b/>
      <w:color w:val="000000"/>
      <w:sz w:val="22"/>
      <w:szCs w:val="22"/>
      <w:lang w:val="en-US" w:eastAsia="en-US" w:bidi="ar-SA"/>
    </w:rPr>
  </w:style>
  <w:style w:type="paragraph" w:styleId="10">
    <w:name w:val="heading 9"/>
    <w:basedOn w:val="1"/>
    <w:next w:val="1"/>
    <w:link w:val="75"/>
    <w:qFormat/>
    <w:uiPriority w:val="0"/>
    <w:pPr>
      <w:tabs>
        <w:tab w:val="left" w:pos="1584"/>
      </w:tabs>
      <w:spacing w:before="240" w:after="60" w:line="240" w:lineRule="auto"/>
      <w:ind w:left="1584" w:hanging="1584"/>
      <w:outlineLvl w:val="8"/>
    </w:pPr>
    <w:rPr>
      <w:rFonts w:eastAsia="Times New Roman" w:cs="Times New Roman" w:asciiTheme="majorHAnsi" w:hAnsiTheme="majorHAnsi"/>
      <w:b/>
      <w:sz w:val="24"/>
      <w:lang w:val="en-US"/>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81"/>
    <w:unhideWhenUsed/>
    <w:qFormat/>
    <w:uiPriority w:val="99"/>
    <w:pPr>
      <w:spacing w:after="0" w:line="240" w:lineRule="auto"/>
    </w:pPr>
    <w:rPr>
      <w:rFonts w:ascii="Segoe UI" w:hAnsi="Segoe UI" w:cs="Segoe UI"/>
      <w:sz w:val="18"/>
      <w:szCs w:val="18"/>
      <w:lang w:val="en-US"/>
    </w:rPr>
  </w:style>
  <w:style w:type="paragraph" w:styleId="14">
    <w:name w:val="Body Text"/>
    <w:basedOn w:val="1"/>
    <w:link w:val="83"/>
    <w:unhideWhenUsed/>
    <w:qFormat/>
    <w:uiPriority w:val="99"/>
    <w:pPr>
      <w:spacing w:after="120" w:line="276" w:lineRule="auto"/>
    </w:pPr>
    <w:rPr>
      <w:rFonts w:ascii="Times New Roman" w:hAnsi="Times New Roman" w:eastAsia="Calibri" w:cs="Times New Roman"/>
      <w:sz w:val="20"/>
      <w:szCs w:val="20"/>
      <w:lang w:val="en-GB"/>
    </w:rPr>
  </w:style>
  <w:style w:type="paragraph" w:styleId="15">
    <w:name w:val="Body Text 2"/>
    <w:basedOn w:val="1"/>
    <w:link w:val="96"/>
    <w:unhideWhenUsed/>
    <w:qFormat/>
    <w:uiPriority w:val="99"/>
    <w:pPr>
      <w:spacing w:after="120" w:line="480" w:lineRule="auto"/>
    </w:pPr>
    <w:rPr>
      <w:rFonts w:ascii="Times New Roman" w:hAnsi="Times New Roman" w:eastAsia="Calibri" w:cs="Times New Roman"/>
      <w:sz w:val="20"/>
      <w:szCs w:val="20"/>
      <w:lang w:val="en-GB"/>
    </w:rPr>
  </w:style>
  <w:style w:type="paragraph" w:styleId="16">
    <w:name w:val="Body Text 3"/>
    <w:basedOn w:val="1"/>
    <w:link w:val="86"/>
    <w:unhideWhenUsed/>
    <w:qFormat/>
    <w:uiPriority w:val="99"/>
    <w:pPr>
      <w:spacing w:after="120"/>
    </w:pPr>
    <w:rPr>
      <w:sz w:val="16"/>
      <w:szCs w:val="16"/>
      <w:lang w:val="en-US"/>
    </w:rPr>
  </w:style>
  <w:style w:type="paragraph" w:styleId="17">
    <w:name w:val="Body Text Indent"/>
    <w:basedOn w:val="1"/>
    <w:link w:val="95"/>
    <w:unhideWhenUsed/>
    <w:qFormat/>
    <w:uiPriority w:val="99"/>
    <w:pPr>
      <w:spacing w:after="120" w:line="276" w:lineRule="auto"/>
      <w:ind w:left="360"/>
    </w:pPr>
    <w:rPr>
      <w:rFonts w:ascii="Times New Roman" w:hAnsi="Times New Roman" w:eastAsia="Calibri" w:cs="Times New Roman"/>
      <w:sz w:val="20"/>
      <w:szCs w:val="20"/>
      <w:lang w:val="en-GB"/>
    </w:rPr>
  </w:style>
  <w:style w:type="paragraph" w:styleId="18">
    <w:name w:val="Body Text Indent 2"/>
    <w:basedOn w:val="1"/>
    <w:link w:val="94"/>
    <w:unhideWhenUsed/>
    <w:qFormat/>
    <w:uiPriority w:val="99"/>
    <w:pPr>
      <w:spacing w:after="120" w:line="480" w:lineRule="auto"/>
      <w:ind w:left="360"/>
    </w:pPr>
    <w:rPr>
      <w:rFonts w:ascii="Times New Roman" w:hAnsi="Times New Roman" w:eastAsia="Calibri" w:cs="Times New Roman"/>
      <w:sz w:val="20"/>
      <w:szCs w:val="20"/>
      <w:lang w:val="en-GB"/>
    </w:rPr>
  </w:style>
  <w:style w:type="paragraph" w:styleId="19">
    <w:name w:val="Body Text Indent 3"/>
    <w:basedOn w:val="1"/>
    <w:link w:val="177"/>
    <w:qFormat/>
    <w:uiPriority w:val="0"/>
    <w:pPr>
      <w:spacing w:before="100" w:after="100" w:line="240" w:lineRule="auto"/>
      <w:ind w:left="-1570" w:firstLine="3510"/>
    </w:pPr>
    <w:rPr>
      <w:rFonts w:ascii="Times New Roman" w:hAnsi="Times New Roman" w:eastAsia="Times New Roman" w:cs="Times New Roman"/>
      <w:sz w:val="21"/>
      <w:szCs w:val="21"/>
      <w:lang w:val="en-GB"/>
    </w:rPr>
  </w:style>
  <w:style w:type="paragraph" w:styleId="20">
    <w:name w:val="caption"/>
    <w:basedOn w:val="1"/>
    <w:next w:val="1"/>
    <w:unhideWhenUsed/>
    <w:qFormat/>
    <w:uiPriority w:val="35"/>
    <w:pPr>
      <w:spacing w:after="200" w:line="240" w:lineRule="auto"/>
    </w:pPr>
    <w:rPr>
      <w:rFonts w:ascii="Times New Roman" w:hAnsi="Times New Roman" w:eastAsia="Calibri" w:cs="Times New Roman"/>
      <w:b/>
      <w:bCs/>
      <w:color w:val="4F81BD"/>
      <w:sz w:val="18"/>
      <w:szCs w:val="18"/>
      <w:lang w:val="en-GB"/>
    </w:rPr>
  </w:style>
  <w:style w:type="character" w:styleId="21">
    <w:name w:val="annotation reference"/>
    <w:basedOn w:val="11"/>
    <w:semiHidden/>
    <w:unhideWhenUsed/>
    <w:qFormat/>
    <w:uiPriority w:val="99"/>
    <w:rPr>
      <w:sz w:val="16"/>
      <w:szCs w:val="16"/>
    </w:rPr>
  </w:style>
  <w:style w:type="paragraph" w:styleId="22">
    <w:name w:val="annotation text"/>
    <w:basedOn w:val="1"/>
    <w:link w:val="153"/>
    <w:semiHidden/>
    <w:unhideWhenUsed/>
    <w:qFormat/>
    <w:uiPriority w:val="99"/>
    <w:pPr>
      <w:spacing w:after="200" w:line="240" w:lineRule="auto"/>
    </w:pPr>
    <w:rPr>
      <w:rFonts w:ascii="Calibri" w:hAnsi="Calibri" w:eastAsia="Calibri" w:cs="Times New Roman"/>
      <w:sz w:val="20"/>
      <w:szCs w:val="20"/>
      <w:lang w:val="en-GB"/>
    </w:rPr>
  </w:style>
  <w:style w:type="paragraph" w:styleId="23">
    <w:name w:val="annotation subject"/>
    <w:basedOn w:val="22"/>
    <w:next w:val="22"/>
    <w:link w:val="154"/>
    <w:semiHidden/>
    <w:unhideWhenUsed/>
    <w:qFormat/>
    <w:uiPriority w:val="99"/>
    <w:rPr>
      <w:b/>
      <w:bCs/>
    </w:rPr>
  </w:style>
  <w:style w:type="paragraph" w:styleId="24">
    <w:name w:val="Document Map"/>
    <w:basedOn w:val="1"/>
    <w:link w:val="97"/>
    <w:semiHidden/>
    <w:unhideWhenUsed/>
    <w:qFormat/>
    <w:uiPriority w:val="99"/>
    <w:pPr>
      <w:spacing w:after="0" w:line="240" w:lineRule="auto"/>
    </w:pPr>
    <w:rPr>
      <w:rFonts w:ascii="Tahoma" w:hAnsi="Tahoma" w:eastAsia="Calibri" w:cs="Times New Roman"/>
      <w:sz w:val="16"/>
      <w:szCs w:val="16"/>
      <w:lang w:val="en-GB"/>
    </w:rPr>
  </w:style>
  <w:style w:type="character" w:styleId="25">
    <w:name w:val="Emphasis"/>
    <w:basedOn w:val="11"/>
    <w:qFormat/>
    <w:uiPriority w:val="20"/>
    <w:rPr>
      <w:rFonts w:asciiTheme="majorHAnsi" w:hAnsiTheme="majorHAnsi"/>
      <w:b/>
      <w:iCs/>
      <w:sz w:val="24"/>
    </w:rPr>
  </w:style>
  <w:style w:type="character" w:styleId="26">
    <w:name w:val="FollowedHyperlink"/>
    <w:basedOn w:val="11"/>
    <w:unhideWhenUsed/>
    <w:qFormat/>
    <w:uiPriority w:val="99"/>
    <w:rPr>
      <w:color w:val="800080"/>
      <w:u w:val="single"/>
    </w:rPr>
  </w:style>
  <w:style w:type="paragraph" w:styleId="27">
    <w:name w:val="footer"/>
    <w:basedOn w:val="1"/>
    <w:link w:val="76"/>
    <w:unhideWhenUsed/>
    <w:qFormat/>
    <w:uiPriority w:val="99"/>
    <w:pPr>
      <w:tabs>
        <w:tab w:val="center" w:pos="4680"/>
        <w:tab w:val="right" w:pos="9360"/>
      </w:tabs>
      <w:spacing w:after="0" w:line="240" w:lineRule="auto"/>
    </w:pPr>
    <w:rPr>
      <w:rFonts w:ascii="Times New Roman" w:hAnsi="Times New Roman" w:eastAsia="Calibri" w:cs="Times New Roman"/>
      <w:sz w:val="20"/>
      <w:szCs w:val="20"/>
      <w:lang w:val="en-GB"/>
    </w:rPr>
  </w:style>
  <w:style w:type="character" w:styleId="28">
    <w:name w:val="footnote reference"/>
    <w:semiHidden/>
    <w:unhideWhenUsed/>
    <w:qFormat/>
    <w:uiPriority w:val="99"/>
    <w:rPr>
      <w:vertAlign w:val="superscript"/>
    </w:rPr>
  </w:style>
  <w:style w:type="paragraph" w:styleId="29">
    <w:name w:val="footnote text"/>
    <w:basedOn w:val="1"/>
    <w:link w:val="101"/>
    <w:semiHidden/>
    <w:unhideWhenUsed/>
    <w:qFormat/>
    <w:uiPriority w:val="99"/>
    <w:pPr>
      <w:spacing w:after="200" w:line="276" w:lineRule="auto"/>
    </w:pPr>
    <w:rPr>
      <w:rFonts w:ascii="Times New Roman" w:hAnsi="Times New Roman" w:eastAsia="Calibri" w:cs="Times New Roman"/>
      <w:sz w:val="20"/>
      <w:szCs w:val="20"/>
      <w:lang w:val="en-GB"/>
    </w:rPr>
  </w:style>
  <w:style w:type="paragraph" w:styleId="30">
    <w:name w:val="header"/>
    <w:basedOn w:val="1"/>
    <w:link w:val="87"/>
    <w:unhideWhenUsed/>
    <w:qFormat/>
    <w:uiPriority w:val="99"/>
    <w:pPr>
      <w:tabs>
        <w:tab w:val="center" w:pos="4680"/>
        <w:tab w:val="right" w:pos="9360"/>
      </w:tabs>
      <w:spacing w:after="0" w:line="240" w:lineRule="auto"/>
    </w:pPr>
    <w:rPr>
      <w:lang w:val="en-US"/>
    </w:rPr>
  </w:style>
  <w:style w:type="character" w:styleId="31">
    <w:name w:val="Hyperlink"/>
    <w:basedOn w:val="11"/>
    <w:unhideWhenUsed/>
    <w:qFormat/>
    <w:uiPriority w:val="99"/>
    <w:rPr>
      <w:color w:val="0563C1" w:themeColor="hyperlink"/>
      <w:u w:val="single"/>
      <w14:textFill>
        <w14:solidFill>
          <w14:schemeClr w14:val="hlink"/>
        </w14:solidFill>
      </w14:textFill>
    </w:rPr>
  </w:style>
  <w:style w:type="paragraph" w:styleId="32">
    <w:name w:val="List"/>
    <w:basedOn w:val="1"/>
    <w:qFormat/>
    <w:uiPriority w:val="0"/>
    <w:pPr>
      <w:spacing w:before="100" w:after="100" w:line="240" w:lineRule="auto"/>
      <w:ind w:left="283" w:hanging="283"/>
    </w:pPr>
    <w:rPr>
      <w:rFonts w:ascii="Times New Roman" w:hAnsi="Times New Roman" w:eastAsia="Times New Roman" w:cs="Times New Roman"/>
      <w:sz w:val="21"/>
      <w:szCs w:val="21"/>
      <w:lang w:val="en-GB"/>
    </w:rPr>
  </w:style>
  <w:style w:type="paragraph" w:styleId="33">
    <w:name w:val="List 2"/>
    <w:basedOn w:val="1"/>
    <w:qFormat/>
    <w:uiPriority w:val="0"/>
    <w:pPr>
      <w:spacing w:after="0" w:line="240" w:lineRule="auto"/>
      <w:ind w:left="720" w:hanging="360"/>
    </w:pPr>
    <w:rPr>
      <w:rFonts w:ascii="Times New Roman" w:hAnsi="Times New Roman" w:eastAsia="Times New Roman" w:cs="Times New Roman"/>
      <w:sz w:val="24"/>
      <w:szCs w:val="24"/>
      <w:lang w:val="en-GB"/>
    </w:rPr>
  </w:style>
  <w:style w:type="paragraph" w:styleId="34">
    <w:name w:val="List 3"/>
    <w:basedOn w:val="1"/>
    <w:qFormat/>
    <w:uiPriority w:val="0"/>
    <w:pPr>
      <w:spacing w:before="100" w:after="100" w:line="240" w:lineRule="auto"/>
      <w:ind w:left="849" w:hanging="283"/>
    </w:pPr>
    <w:rPr>
      <w:rFonts w:ascii="Times New Roman" w:hAnsi="Times New Roman" w:eastAsia="Times New Roman" w:cs="Times New Roman"/>
      <w:sz w:val="21"/>
      <w:szCs w:val="21"/>
      <w:lang w:val="en-GB"/>
    </w:rPr>
  </w:style>
  <w:style w:type="paragraph" w:styleId="35">
    <w:name w:val="List 4"/>
    <w:basedOn w:val="1"/>
    <w:qFormat/>
    <w:uiPriority w:val="0"/>
    <w:pPr>
      <w:spacing w:before="100" w:after="100" w:line="240" w:lineRule="auto"/>
      <w:ind w:left="1132" w:hanging="283"/>
    </w:pPr>
    <w:rPr>
      <w:rFonts w:ascii="Times New Roman" w:hAnsi="Times New Roman" w:eastAsia="Times New Roman" w:cs="Times New Roman"/>
      <w:sz w:val="21"/>
      <w:szCs w:val="21"/>
      <w:lang w:val="en-GB"/>
    </w:rPr>
  </w:style>
  <w:style w:type="paragraph" w:styleId="36">
    <w:name w:val="List Bullet"/>
    <w:basedOn w:val="1"/>
    <w:qFormat/>
    <w:uiPriority w:val="99"/>
    <w:pPr>
      <w:numPr>
        <w:ilvl w:val="0"/>
        <w:numId w:val="1"/>
      </w:numPr>
      <w:spacing w:after="0" w:line="240" w:lineRule="auto"/>
    </w:pPr>
    <w:rPr>
      <w:rFonts w:ascii="Times New Roman" w:hAnsi="Times New Roman" w:eastAsia="Times New Roman" w:cs="Times New Roman"/>
      <w:sz w:val="24"/>
      <w:szCs w:val="24"/>
      <w:lang w:val="en-US"/>
    </w:rPr>
  </w:style>
  <w:style w:type="paragraph" w:styleId="37">
    <w:name w:val="List Bullet 2"/>
    <w:basedOn w:val="1"/>
    <w:qFormat/>
    <w:uiPriority w:val="0"/>
    <w:pPr>
      <w:spacing w:before="100" w:after="100" w:line="240" w:lineRule="auto"/>
      <w:ind w:left="566" w:hanging="283"/>
    </w:pPr>
    <w:rPr>
      <w:rFonts w:ascii="Times New Roman" w:hAnsi="Times New Roman" w:eastAsia="Times New Roman" w:cs="Times New Roman"/>
      <w:sz w:val="21"/>
      <w:szCs w:val="21"/>
      <w:lang w:val="en-GB"/>
    </w:rPr>
  </w:style>
  <w:style w:type="paragraph" w:styleId="38">
    <w:name w:val="List Bullet 5"/>
    <w:basedOn w:val="1"/>
    <w:qFormat/>
    <w:uiPriority w:val="0"/>
    <w:pPr>
      <w:tabs>
        <w:tab w:val="left" w:pos="720"/>
      </w:tabs>
      <w:spacing w:before="100" w:after="100" w:line="240" w:lineRule="auto"/>
      <w:ind w:left="720" w:hanging="360"/>
    </w:pPr>
    <w:rPr>
      <w:rFonts w:ascii="Times New Roman" w:hAnsi="Times New Roman" w:eastAsia="Times New Roman" w:cs="Times New Roman"/>
      <w:sz w:val="21"/>
      <w:szCs w:val="21"/>
      <w:lang w:val="en-GB"/>
    </w:rPr>
  </w:style>
  <w:style w:type="paragraph" w:styleId="39">
    <w:name w:val="List Continue"/>
    <w:basedOn w:val="1"/>
    <w:qFormat/>
    <w:uiPriority w:val="0"/>
    <w:pPr>
      <w:spacing w:before="100" w:after="120" w:line="240" w:lineRule="auto"/>
      <w:ind w:left="283"/>
    </w:pPr>
    <w:rPr>
      <w:rFonts w:ascii="Times New Roman" w:hAnsi="Times New Roman" w:eastAsia="Times New Roman" w:cs="Times New Roman"/>
      <w:sz w:val="21"/>
      <w:szCs w:val="21"/>
      <w:lang w:val="en-GB"/>
    </w:rPr>
  </w:style>
  <w:style w:type="paragraph" w:styleId="40">
    <w:name w:val="List Continue 2"/>
    <w:basedOn w:val="1"/>
    <w:qFormat/>
    <w:uiPriority w:val="0"/>
    <w:pPr>
      <w:spacing w:before="100" w:after="120" w:line="240" w:lineRule="auto"/>
      <w:ind w:left="566"/>
    </w:pPr>
    <w:rPr>
      <w:rFonts w:ascii="Times New Roman" w:hAnsi="Times New Roman" w:eastAsia="Times New Roman" w:cs="Times New Roman"/>
      <w:sz w:val="21"/>
      <w:szCs w:val="21"/>
      <w:lang w:val="en-GB"/>
    </w:rPr>
  </w:style>
  <w:style w:type="paragraph" w:styleId="41">
    <w:name w:val="List Continue 3"/>
    <w:basedOn w:val="1"/>
    <w:qFormat/>
    <w:uiPriority w:val="0"/>
    <w:pPr>
      <w:spacing w:before="100" w:after="120" w:line="240" w:lineRule="auto"/>
      <w:ind w:left="849"/>
    </w:pPr>
    <w:rPr>
      <w:rFonts w:ascii="Times New Roman" w:hAnsi="Times New Roman" w:eastAsia="Times New Roman" w:cs="Times New Roman"/>
      <w:sz w:val="21"/>
      <w:szCs w:val="21"/>
      <w:lang w:val="en-GB"/>
    </w:rPr>
  </w:style>
  <w:style w:type="paragraph" w:styleId="42">
    <w:name w:val="List Continue 4"/>
    <w:basedOn w:val="1"/>
    <w:qFormat/>
    <w:uiPriority w:val="0"/>
    <w:pPr>
      <w:spacing w:before="100" w:after="120" w:line="240" w:lineRule="auto"/>
      <w:ind w:left="1132"/>
    </w:pPr>
    <w:rPr>
      <w:rFonts w:ascii="Times New Roman" w:hAnsi="Times New Roman" w:eastAsia="Times New Roman" w:cs="Times New Roman"/>
      <w:sz w:val="21"/>
      <w:szCs w:val="21"/>
      <w:lang w:val="en-GB"/>
    </w:rPr>
  </w:style>
  <w:style w:type="paragraph" w:styleId="43">
    <w:name w:val="List Number"/>
    <w:basedOn w:val="1"/>
    <w:qFormat/>
    <w:uiPriority w:val="0"/>
    <w:pPr>
      <w:spacing w:before="100" w:after="100" w:line="240" w:lineRule="auto"/>
      <w:ind w:left="283" w:hanging="283"/>
    </w:pPr>
    <w:rPr>
      <w:rFonts w:ascii="Times New Roman" w:hAnsi="Times New Roman" w:eastAsia="Times New Roman" w:cs="Times New Roman"/>
      <w:sz w:val="21"/>
      <w:szCs w:val="21"/>
      <w:lang w:val="en-GB"/>
    </w:rPr>
  </w:style>
  <w:style w:type="paragraph" w:styleId="44">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45">
    <w:name w:val="Normal Indent"/>
    <w:basedOn w:val="1"/>
    <w:qFormat/>
    <w:uiPriority w:val="0"/>
    <w:pPr>
      <w:spacing w:before="120" w:after="120" w:line="240" w:lineRule="auto"/>
      <w:ind w:left="720"/>
    </w:pPr>
    <w:rPr>
      <w:rFonts w:ascii="Times New Roman" w:hAnsi="Times New Roman" w:eastAsia="Times New Roman" w:cs="Times New Roman"/>
      <w:lang w:val="en-GB"/>
    </w:rPr>
  </w:style>
  <w:style w:type="character" w:styleId="46">
    <w:name w:val="page number"/>
    <w:basedOn w:val="11"/>
    <w:qFormat/>
    <w:uiPriority w:val="0"/>
  </w:style>
  <w:style w:type="character" w:styleId="47">
    <w:name w:val="Strong"/>
    <w:qFormat/>
    <w:uiPriority w:val="22"/>
    <w:rPr>
      <w:b/>
      <w:bCs/>
    </w:rPr>
  </w:style>
  <w:style w:type="paragraph" w:styleId="48">
    <w:name w:val="Subtitle"/>
    <w:basedOn w:val="49"/>
    <w:next w:val="1"/>
    <w:link w:val="158"/>
    <w:qFormat/>
    <w:uiPriority w:val="11"/>
    <w:pPr>
      <w:spacing w:after="200" w:line="276" w:lineRule="auto"/>
    </w:pPr>
    <w:rPr>
      <w:rFonts w:eastAsia="Calibri"/>
      <w:sz w:val="24"/>
      <w:szCs w:val="28"/>
      <w:lang w:eastAsia="ja-JP"/>
    </w:rPr>
  </w:style>
  <w:style w:type="paragraph" w:styleId="49">
    <w:name w:val="No Spacing"/>
    <w:link w:val="82"/>
    <w:qFormat/>
    <w:uiPriority w:val="1"/>
    <w:rPr>
      <w:rFonts w:eastAsia="Times New Roman" w:cs="Times New Roman" w:asciiTheme="majorHAnsi" w:hAnsiTheme="majorHAnsi"/>
      <w:b/>
      <w:sz w:val="22"/>
      <w:szCs w:val="22"/>
      <w:lang w:val="en-US" w:eastAsia="en-US" w:bidi="ar-SA"/>
    </w:rPr>
  </w:style>
  <w:style w:type="table" w:styleId="50">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51">
    <w:name w:val="table of figures"/>
    <w:basedOn w:val="1"/>
    <w:next w:val="1"/>
    <w:qFormat/>
    <w:uiPriority w:val="99"/>
    <w:pPr>
      <w:numPr>
        <w:ilvl w:val="0"/>
        <w:numId w:val="2"/>
      </w:numPr>
      <w:tabs>
        <w:tab w:val="right" w:pos="9027"/>
      </w:tabs>
      <w:spacing w:before="60" w:after="0" w:line="240" w:lineRule="auto"/>
      <w:ind w:left="704" w:hanging="420"/>
    </w:pPr>
    <w:rPr>
      <w:rFonts w:ascii="Helvetica 65 Medium" w:hAnsi="Helvetica 65 Medium" w:eastAsia="Times New Roman" w:cs="Times New Roman"/>
      <w:sz w:val="20"/>
      <w:szCs w:val="20"/>
      <w:lang w:val="en-GB"/>
    </w:rPr>
  </w:style>
  <w:style w:type="table" w:styleId="52">
    <w:name w:val="Table Theme"/>
    <w:basedOn w:val="53"/>
    <w:qFormat/>
    <w:uiPriority w:val="0"/>
    <w:tblPr>
      <w:tblCellSpacing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styleId="53">
    <w:name w:val="Table Web 1"/>
    <w:basedOn w:val="12"/>
    <w:qFormat/>
    <w:uiPriority w:val="0"/>
    <w:rPr>
      <w:rFonts w:ascii="Times New Roman" w:hAnsi="Times New Roman" w:eastAsia="Calibri" w:cs="Times New Roman"/>
      <w:sz w:val="24"/>
      <w:lang w:eastAsia="en-GB"/>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54">
    <w:name w:val="Table Web 2"/>
    <w:basedOn w:val="12"/>
    <w:semiHidden/>
    <w:unhideWhenUsed/>
    <w:qFormat/>
    <w:uiPriority w:val="99"/>
    <w:rPr>
      <w:rFonts w:ascii="Times New Roman" w:hAnsi="Times New Roman" w:eastAsia="Calibri" w:cs="Times New Roman"/>
      <w:sz w:val="24"/>
      <w:lang w:eastAsia="en-GB"/>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55">
    <w:name w:val="Table Web 3"/>
    <w:basedOn w:val="12"/>
    <w:semiHidden/>
    <w:unhideWhenUsed/>
    <w:qFormat/>
    <w:uiPriority w:val="99"/>
    <w:rPr>
      <w:rFonts w:ascii="Times New Roman" w:hAnsi="Times New Roman" w:eastAsia="Calibri" w:cs="Times New Roman"/>
      <w:sz w:val="24"/>
      <w:lang w:eastAsia="en-GB"/>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paragraph" w:styleId="56">
    <w:name w:val="Title"/>
    <w:basedOn w:val="1"/>
    <w:next w:val="1"/>
    <w:link w:val="90"/>
    <w:qFormat/>
    <w:uiPriority w:val="99"/>
    <w:pPr>
      <w:spacing w:after="0" w:line="240" w:lineRule="auto"/>
      <w:contextualSpacing/>
    </w:pPr>
    <w:rPr>
      <w:rFonts w:asciiTheme="majorHAnsi" w:hAnsiTheme="majorHAnsi" w:eastAsiaTheme="majorEastAsia" w:cstheme="majorBidi"/>
      <w:spacing w:val="-10"/>
      <w:kern w:val="28"/>
      <w:sz w:val="56"/>
      <w:szCs w:val="56"/>
    </w:rPr>
  </w:style>
  <w:style w:type="paragraph" w:styleId="57">
    <w:name w:val="toc 1"/>
    <w:basedOn w:val="1"/>
    <w:next w:val="1"/>
    <w:unhideWhenUsed/>
    <w:qFormat/>
    <w:uiPriority w:val="39"/>
    <w:pPr>
      <w:spacing w:after="100"/>
    </w:pPr>
    <w:rPr>
      <w:lang w:val="en-US"/>
    </w:rPr>
  </w:style>
  <w:style w:type="paragraph" w:styleId="58">
    <w:name w:val="toc 2"/>
    <w:basedOn w:val="1"/>
    <w:next w:val="1"/>
    <w:unhideWhenUsed/>
    <w:qFormat/>
    <w:uiPriority w:val="39"/>
    <w:pPr>
      <w:spacing w:after="100"/>
      <w:ind w:left="220"/>
    </w:pPr>
    <w:rPr>
      <w:lang w:val="en-US"/>
    </w:rPr>
  </w:style>
  <w:style w:type="paragraph" w:styleId="59">
    <w:name w:val="toc 3"/>
    <w:basedOn w:val="1"/>
    <w:next w:val="1"/>
    <w:unhideWhenUsed/>
    <w:qFormat/>
    <w:uiPriority w:val="39"/>
    <w:pPr>
      <w:spacing w:after="100"/>
      <w:ind w:left="440"/>
    </w:pPr>
    <w:rPr>
      <w:lang w:val="en-US"/>
    </w:rPr>
  </w:style>
  <w:style w:type="paragraph" w:styleId="60">
    <w:name w:val="toc 4"/>
    <w:basedOn w:val="1"/>
    <w:next w:val="1"/>
    <w:unhideWhenUsed/>
    <w:qFormat/>
    <w:uiPriority w:val="39"/>
    <w:pPr>
      <w:spacing w:after="0"/>
      <w:ind w:left="660"/>
    </w:pPr>
    <w:rPr>
      <w:rFonts w:cstheme="minorHAnsi"/>
      <w:sz w:val="18"/>
      <w:szCs w:val="18"/>
      <w:lang w:val="en-US"/>
    </w:rPr>
  </w:style>
  <w:style w:type="paragraph" w:styleId="61">
    <w:name w:val="toc 5"/>
    <w:basedOn w:val="1"/>
    <w:next w:val="1"/>
    <w:unhideWhenUsed/>
    <w:qFormat/>
    <w:uiPriority w:val="39"/>
    <w:pPr>
      <w:spacing w:after="0"/>
      <w:ind w:left="880"/>
    </w:pPr>
    <w:rPr>
      <w:rFonts w:cstheme="minorHAnsi"/>
      <w:sz w:val="18"/>
      <w:szCs w:val="18"/>
      <w:lang w:val="en-US"/>
    </w:rPr>
  </w:style>
  <w:style w:type="paragraph" w:styleId="62">
    <w:name w:val="toc 6"/>
    <w:basedOn w:val="1"/>
    <w:next w:val="1"/>
    <w:unhideWhenUsed/>
    <w:qFormat/>
    <w:uiPriority w:val="39"/>
    <w:pPr>
      <w:spacing w:after="0"/>
      <w:ind w:left="1100"/>
    </w:pPr>
    <w:rPr>
      <w:rFonts w:cstheme="minorHAnsi"/>
      <w:sz w:val="18"/>
      <w:szCs w:val="18"/>
      <w:lang w:val="en-US"/>
    </w:rPr>
  </w:style>
  <w:style w:type="paragraph" w:styleId="63">
    <w:name w:val="toc 7"/>
    <w:basedOn w:val="1"/>
    <w:next w:val="1"/>
    <w:unhideWhenUsed/>
    <w:qFormat/>
    <w:uiPriority w:val="39"/>
    <w:pPr>
      <w:spacing w:after="0"/>
      <w:ind w:left="1320"/>
    </w:pPr>
    <w:rPr>
      <w:rFonts w:cstheme="minorHAnsi"/>
      <w:sz w:val="18"/>
      <w:szCs w:val="18"/>
      <w:lang w:val="en-US"/>
    </w:rPr>
  </w:style>
  <w:style w:type="paragraph" w:styleId="64">
    <w:name w:val="toc 8"/>
    <w:basedOn w:val="1"/>
    <w:next w:val="1"/>
    <w:unhideWhenUsed/>
    <w:qFormat/>
    <w:uiPriority w:val="39"/>
    <w:pPr>
      <w:spacing w:after="0"/>
      <w:ind w:left="1540"/>
    </w:pPr>
    <w:rPr>
      <w:rFonts w:cstheme="minorHAnsi"/>
      <w:sz w:val="18"/>
      <w:szCs w:val="18"/>
      <w:lang w:val="en-US"/>
    </w:rPr>
  </w:style>
  <w:style w:type="paragraph" w:styleId="65">
    <w:name w:val="toc 9"/>
    <w:basedOn w:val="1"/>
    <w:next w:val="1"/>
    <w:unhideWhenUsed/>
    <w:qFormat/>
    <w:uiPriority w:val="39"/>
    <w:pPr>
      <w:spacing w:after="0"/>
      <w:ind w:left="1760"/>
    </w:pPr>
    <w:rPr>
      <w:rFonts w:cstheme="minorHAnsi"/>
      <w:sz w:val="18"/>
      <w:szCs w:val="18"/>
      <w:lang w:val="en-US"/>
    </w:rPr>
  </w:style>
  <w:style w:type="table" w:styleId="66">
    <w:name w:val="Medium Shading 1 Accent 3"/>
    <w:basedOn w:val="12"/>
    <w:qFormat/>
    <w:uiPriority w:val="63"/>
    <w:rPr>
      <w:rFonts w:ascii="Calibri" w:hAnsi="Calibri" w:eastAsia="Calibri" w:cs="Times New Roman"/>
    </w:rPr>
    <w:tblPr>
      <w:tblBorders>
        <w:top w:val="single" w:color="B3CC82" w:sz="8" w:space="0"/>
        <w:left w:val="single" w:color="B3CC82" w:sz="8" w:space="0"/>
        <w:bottom w:val="single" w:color="B3CC82" w:sz="8" w:space="0"/>
        <w:right w:val="single" w:color="B3CC82" w:sz="8" w:space="0"/>
        <w:insideH w:val="single" w:color="B3CC8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67">
    <w:name w:val="Heading 1 Char"/>
    <w:basedOn w:val="11"/>
    <w:link w:val="2"/>
    <w:qFormat/>
    <w:uiPriority w:val="9"/>
    <w:rPr>
      <w:rFonts w:asciiTheme="majorHAnsi" w:hAnsiTheme="majorHAnsi" w:eastAsiaTheme="majorEastAsia" w:cstheme="majorBidi"/>
      <w:b/>
      <w:sz w:val="28"/>
      <w:szCs w:val="32"/>
    </w:rPr>
  </w:style>
  <w:style w:type="character" w:customStyle="1" w:styleId="68">
    <w:name w:val="Heading 2 Char"/>
    <w:basedOn w:val="11"/>
    <w:link w:val="3"/>
    <w:qFormat/>
    <w:uiPriority w:val="0"/>
    <w:rPr>
      <w:rFonts w:asciiTheme="majorHAnsi" w:hAnsiTheme="majorHAnsi" w:eastAsiaTheme="majorEastAsia" w:cstheme="majorBidi"/>
      <w:b/>
      <w:sz w:val="28"/>
      <w:szCs w:val="26"/>
    </w:rPr>
  </w:style>
  <w:style w:type="character" w:customStyle="1" w:styleId="69">
    <w:name w:val="Heading 3 Char"/>
    <w:basedOn w:val="11"/>
    <w:link w:val="4"/>
    <w:uiPriority w:val="0"/>
    <w:rPr>
      <w:rFonts w:asciiTheme="majorHAnsi" w:hAnsiTheme="majorHAnsi" w:eastAsiaTheme="majorEastAsia" w:cstheme="majorBidi"/>
      <w:b/>
      <w:sz w:val="24"/>
      <w:szCs w:val="24"/>
    </w:rPr>
  </w:style>
  <w:style w:type="character" w:customStyle="1" w:styleId="70">
    <w:name w:val="Heading 4 Char"/>
    <w:basedOn w:val="11"/>
    <w:link w:val="5"/>
    <w:uiPriority w:val="0"/>
    <w:rPr>
      <w:rFonts w:asciiTheme="majorHAnsi" w:hAnsiTheme="majorHAnsi" w:eastAsiaTheme="majorEastAsia" w:cstheme="majorBidi"/>
      <w:i/>
      <w:iCs/>
      <w:color w:val="2E75B6" w:themeColor="accent1" w:themeShade="BF"/>
    </w:rPr>
  </w:style>
  <w:style w:type="character" w:customStyle="1" w:styleId="71">
    <w:name w:val="Heading 5 Char"/>
    <w:basedOn w:val="11"/>
    <w:link w:val="6"/>
    <w:qFormat/>
    <w:uiPriority w:val="9"/>
    <w:rPr>
      <w:rFonts w:eastAsia="Cambria" w:cs="Cambria" w:asciiTheme="majorHAnsi" w:hAnsiTheme="majorHAnsi"/>
      <w:color w:val="000000"/>
      <w:sz w:val="24"/>
    </w:rPr>
  </w:style>
  <w:style w:type="character" w:customStyle="1" w:styleId="72">
    <w:name w:val="Heading 6 Char"/>
    <w:basedOn w:val="11"/>
    <w:link w:val="7"/>
    <w:qFormat/>
    <w:uiPriority w:val="0"/>
    <w:rPr>
      <w:rFonts w:asciiTheme="majorHAnsi" w:hAnsiTheme="majorHAnsi" w:eastAsiaTheme="majorEastAsia" w:cstheme="majorBidi"/>
      <w:color w:val="1F4E79" w:themeColor="accent1" w:themeShade="80"/>
    </w:rPr>
  </w:style>
  <w:style w:type="character" w:customStyle="1" w:styleId="73">
    <w:name w:val="Heading 7 Char"/>
    <w:basedOn w:val="11"/>
    <w:link w:val="8"/>
    <w:qFormat/>
    <w:uiPriority w:val="0"/>
    <w:rPr>
      <w:rFonts w:asciiTheme="majorHAnsi" w:hAnsiTheme="majorHAnsi" w:eastAsiaTheme="majorEastAsia" w:cstheme="majorBidi"/>
      <w:i/>
      <w:iCs/>
      <w:color w:val="1F4E79" w:themeColor="accent1" w:themeShade="80"/>
    </w:rPr>
  </w:style>
  <w:style w:type="character" w:customStyle="1" w:styleId="74">
    <w:name w:val="Heading 8 Char"/>
    <w:basedOn w:val="11"/>
    <w:link w:val="9"/>
    <w:qFormat/>
    <w:uiPriority w:val="0"/>
    <w:rPr>
      <w:rFonts w:ascii="Cambria" w:hAnsi="Cambria" w:eastAsia="Cambria" w:cs="Cambria"/>
      <w:b/>
      <w:color w:val="000000"/>
    </w:rPr>
  </w:style>
  <w:style w:type="character" w:customStyle="1" w:styleId="75">
    <w:name w:val="Heading 9 Char"/>
    <w:basedOn w:val="11"/>
    <w:link w:val="10"/>
    <w:qFormat/>
    <w:uiPriority w:val="0"/>
    <w:rPr>
      <w:rFonts w:eastAsia="Times New Roman" w:cs="Times New Roman" w:asciiTheme="majorHAnsi" w:hAnsiTheme="majorHAnsi"/>
      <w:b/>
      <w:sz w:val="24"/>
    </w:rPr>
  </w:style>
  <w:style w:type="character" w:customStyle="1" w:styleId="76">
    <w:name w:val="Footer Char"/>
    <w:basedOn w:val="11"/>
    <w:link w:val="27"/>
    <w:qFormat/>
    <w:uiPriority w:val="99"/>
    <w:rPr>
      <w:rFonts w:ascii="Times New Roman" w:hAnsi="Times New Roman" w:eastAsia="Calibri" w:cs="Times New Roman"/>
      <w:sz w:val="20"/>
      <w:szCs w:val="20"/>
      <w:lang w:val="en-GB"/>
    </w:rPr>
  </w:style>
  <w:style w:type="paragraph" w:styleId="77">
    <w:name w:val="List Paragraph"/>
    <w:basedOn w:val="1"/>
    <w:link w:val="80"/>
    <w:qFormat/>
    <w:uiPriority w:val="34"/>
    <w:pPr>
      <w:ind w:left="720"/>
      <w:contextualSpacing/>
    </w:pPr>
    <w:rPr>
      <w:lang w:val="en-US"/>
    </w:rPr>
  </w:style>
  <w:style w:type="character" w:customStyle="1" w:styleId="78">
    <w:name w:val="Subtle Emphasis1"/>
    <w:basedOn w:val="11"/>
    <w:qFormat/>
    <w:uiPriority w:val="19"/>
    <w:rPr>
      <w:rFonts w:asciiTheme="majorHAnsi" w:hAnsiTheme="majorHAnsi"/>
      <w:b/>
      <w:iCs/>
      <w:color w:val="auto"/>
      <w:sz w:val="24"/>
    </w:rPr>
  </w:style>
  <w:style w:type="paragraph" w:customStyle="1" w:styleId="79">
    <w:name w:val="Default"/>
    <w:qFormat/>
    <w:uiPriority w:val="99"/>
    <w:pPr>
      <w:autoSpaceDE w:val="0"/>
      <w:autoSpaceDN w:val="0"/>
      <w:adjustRightInd w:val="0"/>
    </w:pPr>
    <w:rPr>
      <w:rFonts w:ascii="Arial" w:hAnsi="Arial" w:eastAsia="Times New Roman" w:cs="Arial"/>
      <w:color w:val="000000"/>
      <w:sz w:val="24"/>
      <w:szCs w:val="24"/>
      <w:lang w:val="en-US" w:eastAsia="en-US" w:bidi="ar-SA"/>
    </w:rPr>
  </w:style>
  <w:style w:type="character" w:customStyle="1" w:styleId="80">
    <w:name w:val="List Paragraph Char"/>
    <w:link w:val="77"/>
    <w:qFormat/>
    <w:uiPriority w:val="34"/>
  </w:style>
  <w:style w:type="character" w:customStyle="1" w:styleId="81">
    <w:name w:val="Balloon Text Char"/>
    <w:basedOn w:val="11"/>
    <w:link w:val="13"/>
    <w:qFormat/>
    <w:uiPriority w:val="99"/>
    <w:rPr>
      <w:rFonts w:ascii="Segoe UI" w:hAnsi="Segoe UI" w:cs="Segoe UI"/>
      <w:sz w:val="18"/>
      <w:szCs w:val="18"/>
    </w:rPr>
  </w:style>
  <w:style w:type="character" w:customStyle="1" w:styleId="82">
    <w:name w:val="No Spacing Char"/>
    <w:link w:val="49"/>
    <w:qFormat/>
    <w:uiPriority w:val="1"/>
    <w:rPr>
      <w:rFonts w:eastAsia="Times New Roman" w:cs="Times New Roman" w:asciiTheme="majorHAnsi" w:hAnsiTheme="majorHAnsi"/>
      <w:b/>
    </w:rPr>
  </w:style>
  <w:style w:type="character" w:customStyle="1" w:styleId="83">
    <w:name w:val="Body Text Char"/>
    <w:basedOn w:val="11"/>
    <w:link w:val="14"/>
    <w:qFormat/>
    <w:uiPriority w:val="99"/>
    <w:rPr>
      <w:rFonts w:ascii="Times New Roman" w:hAnsi="Times New Roman" w:eastAsia="Calibri" w:cs="Times New Roman"/>
      <w:sz w:val="20"/>
      <w:szCs w:val="20"/>
      <w:lang w:val="en-GB"/>
    </w:rPr>
  </w:style>
  <w:style w:type="character" w:customStyle="1" w:styleId="84">
    <w:name w:val="Subtle Reference1"/>
    <w:basedOn w:val="11"/>
    <w:qFormat/>
    <w:uiPriority w:val="31"/>
    <w:rPr>
      <w:rFonts w:asciiTheme="majorHAnsi" w:hAnsiTheme="majorHAnsi"/>
      <w:b/>
      <w:smallCaps/>
      <w:color w:val="auto"/>
      <w:sz w:val="24"/>
      <w:u w:val="none"/>
    </w:rPr>
  </w:style>
  <w:style w:type="character" w:customStyle="1" w:styleId="85">
    <w:name w:val="Intense Reference1"/>
    <w:basedOn w:val="11"/>
    <w:qFormat/>
    <w:uiPriority w:val="32"/>
    <w:rPr>
      <w:rFonts w:asciiTheme="minorHAnsi" w:hAnsiTheme="minorHAnsi"/>
      <w:b/>
      <w:bCs/>
      <w:smallCaps/>
      <w:color w:val="auto"/>
      <w:spacing w:val="5"/>
      <w:sz w:val="24"/>
      <w:u w:val="none"/>
    </w:rPr>
  </w:style>
  <w:style w:type="character" w:customStyle="1" w:styleId="86">
    <w:name w:val="Body Text 3 Char"/>
    <w:basedOn w:val="11"/>
    <w:link w:val="16"/>
    <w:uiPriority w:val="99"/>
    <w:rPr>
      <w:sz w:val="16"/>
      <w:szCs w:val="16"/>
    </w:rPr>
  </w:style>
  <w:style w:type="character" w:customStyle="1" w:styleId="87">
    <w:name w:val="Header Char"/>
    <w:basedOn w:val="11"/>
    <w:link w:val="30"/>
    <w:qFormat/>
    <w:uiPriority w:val="99"/>
  </w:style>
  <w:style w:type="paragraph" w:customStyle="1" w:styleId="88">
    <w:name w:val="TOC Heading1"/>
    <w:basedOn w:val="2"/>
    <w:next w:val="1"/>
    <w:unhideWhenUsed/>
    <w:qFormat/>
    <w:uiPriority w:val="39"/>
    <w:pPr>
      <w:jc w:val="left"/>
      <w:outlineLvl w:val="9"/>
    </w:pPr>
    <w:rPr>
      <w:b w:val="0"/>
      <w:color w:val="2E75B6" w:themeColor="accent1" w:themeShade="BF"/>
      <w:sz w:val="32"/>
    </w:rPr>
  </w:style>
  <w:style w:type="table" w:customStyle="1" w:styleId="89">
    <w:name w:val="Table Grid22"/>
    <w:basedOn w:val="12"/>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0">
    <w:name w:val="Title Char"/>
    <w:basedOn w:val="11"/>
    <w:link w:val="56"/>
    <w:qFormat/>
    <w:uiPriority w:val="99"/>
    <w:rPr>
      <w:rFonts w:asciiTheme="majorHAnsi" w:hAnsiTheme="majorHAnsi" w:eastAsiaTheme="majorEastAsia" w:cstheme="majorBidi"/>
      <w:spacing w:val="-10"/>
      <w:kern w:val="28"/>
      <w:sz w:val="56"/>
      <w:szCs w:val="56"/>
      <w:lang w:val="de-DE"/>
    </w:rPr>
  </w:style>
  <w:style w:type="table" w:customStyle="1" w:styleId="91">
    <w:name w:val="Table Grid17"/>
    <w:basedOn w:val="12"/>
    <w:qFormat/>
    <w:uiPriority w:val="59"/>
    <w:rPr>
      <w:rFonts w:ascii="Calibri" w:hAnsi="Calibri" w:eastAsia="Calibri" w:cs="Times New Roman"/>
      <w:lang w:val="de-D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
    <w:name w:val="Table Grid1"/>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3">
    <w:name w:val="TableGrid"/>
    <w:qFormat/>
    <w:uiPriority w:val="0"/>
    <w:rPr>
      <w:rFonts w:eastAsiaTheme="minorEastAsia"/>
    </w:rPr>
    <w:tblPr>
      <w:tblCellMar>
        <w:top w:w="0" w:type="dxa"/>
        <w:left w:w="0" w:type="dxa"/>
        <w:bottom w:w="0" w:type="dxa"/>
        <w:right w:w="0" w:type="dxa"/>
      </w:tblCellMar>
    </w:tblPr>
  </w:style>
  <w:style w:type="character" w:customStyle="1" w:styleId="94">
    <w:name w:val="Body Text Indent 2 Char"/>
    <w:basedOn w:val="11"/>
    <w:link w:val="18"/>
    <w:qFormat/>
    <w:uiPriority w:val="99"/>
    <w:rPr>
      <w:rFonts w:ascii="Times New Roman" w:hAnsi="Times New Roman" w:eastAsia="Calibri" w:cs="Times New Roman"/>
      <w:sz w:val="20"/>
      <w:szCs w:val="20"/>
      <w:lang w:val="en-GB"/>
    </w:rPr>
  </w:style>
  <w:style w:type="character" w:customStyle="1" w:styleId="95">
    <w:name w:val="Body Text Indent Char"/>
    <w:basedOn w:val="11"/>
    <w:link w:val="17"/>
    <w:qFormat/>
    <w:uiPriority w:val="99"/>
    <w:rPr>
      <w:rFonts w:ascii="Times New Roman" w:hAnsi="Times New Roman" w:eastAsia="Calibri" w:cs="Times New Roman"/>
      <w:sz w:val="20"/>
      <w:szCs w:val="20"/>
      <w:lang w:val="en-GB"/>
    </w:rPr>
  </w:style>
  <w:style w:type="character" w:customStyle="1" w:styleId="96">
    <w:name w:val="Body Text 2 Char"/>
    <w:basedOn w:val="11"/>
    <w:link w:val="15"/>
    <w:qFormat/>
    <w:uiPriority w:val="99"/>
    <w:rPr>
      <w:rFonts w:ascii="Times New Roman" w:hAnsi="Times New Roman" w:eastAsia="Calibri" w:cs="Times New Roman"/>
      <w:sz w:val="20"/>
      <w:szCs w:val="20"/>
      <w:lang w:val="en-GB"/>
    </w:rPr>
  </w:style>
  <w:style w:type="character" w:customStyle="1" w:styleId="97">
    <w:name w:val="Document Map Char"/>
    <w:basedOn w:val="11"/>
    <w:link w:val="24"/>
    <w:semiHidden/>
    <w:qFormat/>
    <w:uiPriority w:val="99"/>
    <w:rPr>
      <w:rFonts w:ascii="Tahoma" w:hAnsi="Tahoma" w:eastAsia="Calibri" w:cs="Times New Roman"/>
      <w:sz w:val="16"/>
      <w:szCs w:val="16"/>
      <w:lang w:val="en-GB"/>
    </w:rPr>
  </w:style>
  <w:style w:type="table" w:customStyle="1" w:styleId="98">
    <w:name w:val="Light Shading1"/>
    <w:basedOn w:val="12"/>
    <w:qFormat/>
    <w:uiPriority w:val="60"/>
    <w:rPr>
      <w:rFonts w:ascii="Times New Roman" w:hAnsi="Times New Roman" w:eastAsia="Calibri" w:cs="Times New Roman"/>
      <w:color w:val="000000"/>
      <w:sz w:val="24"/>
      <w:lang w:eastAsia="en-GB"/>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99">
    <w:name w:val="Style1"/>
    <w:basedOn w:val="54"/>
    <w:qFormat/>
    <w:uiPriority w:val="99"/>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100">
    <w:name w:val="Table Web 11"/>
    <w:basedOn w:val="12"/>
    <w:qFormat/>
    <w:uiPriority w:val="0"/>
    <w:rPr>
      <w:rFonts w:ascii="Times New Roman" w:hAnsi="Times New Roman" w:eastAsia="Calibri" w:cs="Times New Roman"/>
      <w:sz w:val="24"/>
      <w:lang w:eastAsia="en-GB"/>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character" w:customStyle="1" w:styleId="101">
    <w:name w:val="Footnote Text Char"/>
    <w:basedOn w:val="11"/>
    <w:link w:val="29"/>
    <w:semiHidden/>
    <w:qFormat/>
    <w:uiPriority w:val="99"/>
    <w:rPr>
      <w:rFonts w:ascii="Times New Roman" w:hAnsi="Times New Roman" w:eastAsia="Calibri" w:cs="Times New Roman"/>
      <w:sz w:val="20"/>
      <w:szCs w:val="20"/>
      <w:lang w:val="en-GB"/>
    </w:rPr>
  </w:style>
  <w:style w:type="table" w:customStyle="1" w:styleId="102">
    <w:name w:val="Medium List 21"/>
    <w:basedOn w:val="12"/>
    <w:qFormat/>
    <w:uiPriority w:val="66"/>
    <w:rPr>
      <w:rFonts w:ascii="Cambria" w:hAnsi="Cambria" w:eastAsia="Times New Roman" w:cs="Times New Roman"/>
      <w:color w:val="000000"/>
      <w:lang w:eastAsia="en-GB"/>
    </w:r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rPr>
        <w:sz w:val="24"/>
        <w:szCs w:val="24"/>
      </w:rPr>
      <w:tcPr>
        <w:tcBorders>
          <w:top w:val="nil"/>
          <w:left w:val="nil"/>
          <w:bottom w:val="single" w:color="000000" w:sz="24" w:space="0"/>
          <w:right w:val="nil"/>
          <w:insideH w:val="nil"/>
          <w:insideV w:val="nil"/>
        </w:tcBorders>
        <w:shd w:val="clear" w:color="auto" w:fill="FFFFFF"/>
      </w:tcPr>
    </w:tblStylePr>
    <w:tblStylePr w:type="lastRow">
      <w:tcPr>
        <w:tcBorders>
          <w:top w:val="single" w:color="000000" w:sz="8" w:space="0"/>
          <w:left w:val="nil"/>
          <w:bottom w:val="nil"/>
          <w:right w:val="nil"/>
          <w:insideH w:val="nil"/>
          <w:insideV w:val="nil"/>
        </w:tcBorders>
        <w:shd w:val="clear" w:color="auto" w:fill="FFFFFF"/>
      </w:tcPr>
    </w:tblStylePr>
    <w:tblStylePr w:type="firstCol">
      <w:tcPr>
        <w:tcBorders>
          <w:top w:val="nil"/>
          <w:left w:val="nil"/>
          <w:bottom w:val="nil"/>
          <w:right w:val="single" w:color="000000" w:sz="8" w:space="0"/>
          <w:insideH w:val="nil"/>
          <w:insideV w:val="nil"/>
        </w:tcBorders>
        <w:shd w:val="clear" w:color="auto" w:fill="FFFFFF"/>
      </w:tcPr>
    </w:tblStylePr>
    <w:tblStylePr w:type="lastCol">
      <w:tcPr>
        <w:tcBorders>
          <w:top w:val="nil"/>
          <w:left w:val="single" w:color="000000" w:sz="8" w:space="0"/>
          <w:bottom w:val="nil"/>
          <w:right w:val="nil"/>
          <w:insideH w:val="nil"/>
          <w:insideV w:val="nil"/>
        </w:tcBorders>
        <w:shd w:val="clear" w:color="auto" w:fill="FFFFFF"/>
      </w:tcPr>
    </w:tblStylePr>
    <w:tblStylePr w:type="band1Vert">
      <w:tcPr>
        <w:tcBorders>
          <w:left w:val="nil"/>
          <w:right w:val="nil"/>
          <w:insideH w:val="nil"/>
          <w:insideV w:val="nil"/>
        </w:tcBorders>
        <w:shd w:val="clear" w:color="auto" w:fill="C0C0C0"/>
      </w:tcPr>
    </w:tblStylePr>
    <w:tblStylePr w:type="band1Horz">
      <w:tcPr>
        <w:tcBorders>
          <w:top w:val="nil"/>
          <w:bottom w:val="nil"/>
          <w:insideH w:val="nil"/>
          <w:insideV w:val="nil"/>
        </w:tcBorders>
        <w:shd w:val="clear" w:color="auto" w:fill="C0C0C0"/>
      </w:tcPr>
    </w:tblStylePr>
    <w:tblStylePr w:type="nwCell">
      <w:tcPr>
        <w:shd w:val="clear" w:color="auto" w:fill="FFFFFF"/>
      </w:tcPr>
    </w:tblStylePr>
    <w:tblStylePr w:type="swCell">
      <w:tcPr>
        <w:tcBorders>
          <w:top w:val="nil"/>
        </w:tcBorders>
      </w:tcPr>
    </w:tblStylePr>
  </w:style>
  <w:style w:type="paragraph" w:customStyle="1" w:styleId="103">
    <w:name w:val="Heading 64"/>
    <w:basedOn w:val="1"/>
    <w:qFormat/>
    <w:uiPriority w:val="99"/>
    <w:pPr>
      <w:keepNext/>
      <w:tabs>
        <w:tab w:val="left" w:pos="709"/>
      </w:tabs>
      <w:spacing w:after="0" w:line="240" w:lineRule="auto"/>
      <w:outlineLvl w:val="6"/>
    </w:pPr>
    <w:rPr>
      <w:rFonts w:ascii="Arial" w:hAnsi="Arial" w:eastAsia="Times New Roman" w:cs="Arial"/>
      <w:b/>
      <w:bCs/>
      <w:sz w:val="24"/>
      <w:szCs w:val="20"/>
      <w:lang w:val="en-GB"/>
    </w:rPr>
  </w:style>
  <w:style w:type="paragraph" w:customStyle="1" w:styleId="104">
    <w:name w:val="Heading 33"/>
    <w:basedOn w:val="1"/>
    <w:qFormat/>
    <w:uiPriority w:val="99"/>
    <w:pPr>
      <w:keepNext/>
      <w:spacing w:after="0" w:line="240" w:lineRule="auto"/>
      <w:outlineLvl w:val="0"/>
    </w:pPr>
    <w:rPr>
      <w:rFonts w:ascii="Arial" w:hAnsi="Arial" w:eastAsia="Times New Roman" w:cs="Arial"/>
      <w:sz w:val="28"/>
      <w:szCs w:val="20"/>
      <w:lang w:val="en-GB"/>
    </w:rPr>
  </w:style>
  <w:style w:type="paragraph" w:customStyle="1" w:styleId="105">
    <w:name w:val="Heading 15"/>
    <w:basedOn w:val="1"/>
    <w:qFormat/>
    <w:uiPriority w:val="99"/>
    <w:pPr>
      <w:spacing w:after="0" w:line="240" w:lineRule="auto"/>
      <w:jc w:val="both"/>
    </w:pPr>
    <w:rPr>
      <w:rFonts w:ascii="Arial" w:hAnsi="Arial" w:eastAsia="Times New Roman" w:cs="Arial"/>
      <w:sz w:val="28"/>
      <w:szCs w:val="20"/>
      <w:lang w:val="en-US"/>
    </w:rPr>
  </w:style>
  <w:style w:type="paragraph" w:customStyle="1" w:styleId="106">
    <w:name w:val="Heading 24"/>
    <w:basedOn w:val="1"/>
    <w:qFormat/>
    <w:uiPriority w:val="99"/>
    <w:pPr>
      <w:keepNext/>
      <w:spacing w:after="0" w:line="240" w:lineRule="auto"/>
      <w:outlineLvl w:val="0"/>
    </w:pPr>
    <w:rPr>
      <w:rFonts w:ascii="Arial" w:hAnsi="Arial" w:eastAsia="Times New Roman" w:cs="Arial"/>
      <w:b/>
      <w:bCs/>
      <w:sz w:val="28"/>
      <w:szCs w:val="20"/>
      <w:lang w:val="en-US"/>
    </w:rPr>
  </w:style>
  <w:style w:type="paragraph" w:customStyle="1" w:styleId="107">
    <w:name w:val="Heading 14"/>
    <w:basedOn w:val="1"/>
    <w:qFormat/>
    <w:uiPriority w:val="99"/>
    <w:pPr>
      <w:spacing w:after="0" w:line="240" w:lineRule="auto"/>
      <w:jc w:val="both"/>
    </w:pPr>
    <w:rPr>
      <w:rFonts w:ascii="Arial" w:hAnsi="Arial" w:eastAsia="Times New Roman" w:cs="Arial"/>
      <w:sz w:val="28"/>
      <w:szCs w:val="20"/>
      <w:lang w:val="en-US"/>
    </w:rPr>
  </w:style>
  <w:style w:type="table" w:customStyle="1" w:styleId="108">
    <w:name w:val="Light Shading11"/>
    <w:basedOn w:val="12"/>
    <w:qFormat/>
    <w:uiPriority w:val="60"/>
    <w:rPr>
      <w:rFonts w:ascii="Times New Roman" w:hAnsi="Times New Roman" w:eastAsia="Calibri" w:cs="Times New Roman"/>
      <w:color w:val="000000"/>
      <w:sz w:val="24"/>
      <w:lang w:eastAsia="en-GB"/>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109">
    <w:name w:val="Table Theme1"/>
    <w:basedOn w:val="53"/>
    <w:qFormat/>
    <w:uiPriority w:val="0"/>
    <w:tblPr>
      <w:tblCellSpacing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110">
    <w:name w:val="Style11"/>
    <w:basedOn w:val="54"/>
    <w:qFormat/>
    <w:uiPriority w:val="99"/>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111">
    <w:name w:val="Table Grid2"/>
    <w:basedOn w:val="12"/>
    <w:qFormat/>
    <w:uiPriority w:val="59"/>
    <w:rPr>
      <w:rFonts w:ascii="Calibri" w:hAnsi="Calibri"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12">
    <w:name w:val="Table Grid3"/>
    <w:basedOn w:val="12"/>
    <w:qFormat/>
    <w:uiPriority w:val="59"/>
    <w:rPr>
      <w:rFonts w:ascii="Times New Roman" w:hAnsi="Times New Roman" w:eastAsia="Calibri" w:cs="Times New Roman"/>
      <w:sz w:val="24"/>
      <w:lang w:eastAsia="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13">
    <w:name w:val="Grid Table 6 Colorful - Accent 21"/>
    <w:basedOn w:val="12"/>
    <w:qFormat/>
    <w:uiPriority w:val="51"/>
    <w:rPr>
      <w:rFonts w:ascii="Calibri" w:hAnsi="Calibri" w:eastAsia="Calibri" w:cs="Times New Roman"/>
      <w:color w:val="943634"/>
    </w:rPr>
    <w:tblPr>
      <w:tblBorders>
        <w:top w:val="single" w:color="D99594" w:sz="4" w:space="0"/>
        <w:left w:val="single" w:color="D99594" w:sz="4" w:space="0"/>
        <w:bottom w:val="single" w:color="D99594" w:sz="4" w:space="0"/>
        <w:right w:val="single" w:color="D99594" w:sz="4" w:space="0"/>
        <w:insideH w:val="single" w:color="D99594" w:sz="4" w:space="0"/>
        <w:insideV w:val="single" w:color="D99594" w:sz="4" w:space="0"/>
      </w:tblBorders>
      <w:tblCellMar>
        <w:top w:w="0" w:type="dxa"/>
        <w:left w:w="108" w:type="dxa"/>
        <w:bottom w:w="0" w:type="dxa"/>
        <w:right w:w="108" w:type="dxa"/>
      </w:tblCellMar>
    </w:tblPr>
    <w:tblStylePr w:type="firstRow">
      <w:rPr>
        <w:b/>
        <w:bCs/>
      </w:rPr>
      <w:tcPr>
        <w:tcBorders>
          <w:bottom w:val="single" w:color="D99594" w:sz="12" w:space="0"/>
        </w:tcBorders>
      </w:tcPr>
    </w:tblStylePr>
    <w:tblStylePr w:type="lastRow">
      <w:rPr>
        <w:b/>
        <w:bCs/>
      </w:rPr>
      <w:tcPr>
        <w:tcBorders>
          <w:top w:val="double" w:color="D99594" w:sz="4" w:space="0"/>
        </w:tcBorders>
      </w:tcPr>
    </w:tblStylePr>
    <w:tblStylePr w:type="firstCol">
      <w:rPr>
        <w:b/>
        <w:bCs/>
      </w:rPr>
    </w:tblStylePr>
    <w:tblStylePr w:type="lastCol">
      <w:rPr>
        <w:b/>
        <w:bCs/>
      </w:rPr>
    </w:tblStylePr>
    <w:tblStylePr w:type="band1Vert">
      <w:tcPr>
        <w:shd w:val="clear" w:color="auto" w:fill="F2DBDB"/>
      </w:tcPr>
    </w:tblStylePr>
    <w:tblStylePr w:type="band1Horz">
      <w:tcPr>
        <w:shd w:val="clear" w:color="auto" w:fill="F2DBDB"/>
      </w:tcPr>
    </w:tblStylePr>
  </w:style>
  <w:style w:type="table" w:customStyle="1" w:styleId="114">
    <w:name w:val="Grid Table 5 Dark - Accent 21"/>
    <w:basedOn w:val="12"/>
    <w:qFormat/>
    <w:uiPriority w:val="50"/>
    <w:rPr>
      <w:rFonts w:ascii="Calibri" w:hAnsi="Calibri" w:eastAsia="Calibri"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F2DBDB"/>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C0504D"/>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C0504D"/>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C0504D"/>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C0504D"/>
      </w:tcPr>
    </w:tblStylePr>
    <w:tblStylePr w:type="band1Vert">
      <w:tcPr>
        <w:shd w:val="clear" w:color="auto" w:fill="E5B8B7"/>
      </w:tcPr>
    </w:tblStylePr>
    <w:tblStylePr w:type="band1Horz">
      <w:tcPr>
        <w:shd w:val="clear" w:color="auto" w:fill="E5B8B7"/>
      </w:tcPr>
    </w:tblStylePr>
  </w:style>
  <w:style w:type="table" w:customStyle="1" w:styleId="115">
    <w:name w:val="Grid Table 1 Light1"/>
    <w:basedOn w:val="12"/>
    <w:qFormat/>
    <w:uiPriority w:val="46"/>
    <w:rPr>
      <w:rFonts w:ascii="Calibri" w:hAnsi="Calibri" w:eastAsia="Calibri" w:cs="Times New Roman"/>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paragraph" w:customStyle="1" w:styleId="116">
    <w:name w:val="xl63"/>
    <w:basedOn w:val="1"/>
    <w:qFormat/>
    <w:uiPriority w:val="0"/>
    <w:pPr>
      <w:spacing w:before="100" w:beforeAutospacing="1" w:after="100" w:afterAutospacing="1" w:line="240" w:lineRule="auto"/>
    </w:pPr>
    <w:rPr>
      <w:rFonts w:ascii="Times New Roman" w:hAnsi="Times New Roman" w:eastAsia="Times New Roman" w:cs="Times New Roman"/>
      <w:sz w:val="21"/>
      <w:szCs w:val="21"/>
      <w:lang w:val="en-GB" w:eastAsia="en-GB"/>
    </w:rPr>
  </w:style>
  <w:style w:type="paragraph" w:customStyle="1" w:styleId="117">
    <w:name w:val="xl64"/>
    <w:basedOn w:val="1"/>
    <w:qFormat/>
    <w:uiPriority w:val="0"/>
    <w:pP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18">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1"/>
      <w:szCs w:val="21"/>
      <w:lang w:val="en-GB" w:eastAsia="en-GB"/>
    </w:rPr>
  </w:style>
  <w:style w:type="paragraph" w:customStyle="1" w:styleId="119">
    <w:name w:val="xl66"/>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1"/>
      <w:szCs w:val="21"/>
      <w:lang w:val="en-GB" w:eastAsia="en-GB"/>
    </w:rPr>
  </w:style>
  <w:style w:type="paragraph" w:customStyle="1" w:styleId="120">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1"/>
      <w:szCs w:val="21"/>
      <w:lang w:val="en-GB" w:eastAsia="en-GB"/>
    </w:rPr>
  </w:style>
  <w:style w:type="paragraph" w:customStyle="1" w:styleId="121">
    <w:name w:val="xl68"/>
    <w:basedOn w:val="1"/>
    <w:uiPriority w:val="0"/>
    <w:pPr>
      <w:spacing w:before="100" w:beforeAutospacing="1" w:after="100" w:afterAutospacing="1" w:line="240" w:lineRule="auto"/>
    </w:pPr>
    <w:rPr>
      <w:rFonts w:ascii="Times New Roman" w:hAnsi="Times New Roman" w:eastAsia="Times New Roman" w:cs="Times New Roman"/>
      <w:b/>
      <w:bCs/>
      <w:sz w:val="21"/>
      <w:szCs w:val="21"/>
      <w:lang w:val="en-GB" w:eastAsia="en-GB"/>
    </w:rPr>
  </w:style>
  <w:style w:type="paragraph" w:customStyle="1" w:styleId="122">
    <w:name w:val="xl69"/>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23">
    <w:name w:val="xl70"/>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24">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25">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2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4"/>
      <w:szCs w:val="24"/>
      <w:lang w:val="en-GB" w:eastAsia="en-GB"/>
    </w:rPr>
  </w:style>
  <w:style w:type="paragraph" w:customStyle="1" w:styleId="127">
    <w:name w:val="xl7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customStyle="1" w:styleId="128">
    <w:name w:val="xl7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customStyle="1" w:styleId="129">
    <w:name w:val="xl7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customStyle="1" w:styleId="130">
    <w:name w:val="xl7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0"/>
      <w:szCs w:val="20"/>
      <w:lang w:val="en-GB" w:eastAsia="en-GB"/>
    </w:rPr>
  </w:style>
  <w:style w:type="paragraph" w:customStyle="1" w:styleId="131">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b/>
      <w:bCs/>
      <w:sz w:val="20"/>
      <w:szCs w:val="20"/>
      <w:lang w:val="en-GB" w:eastAsia="en-GB"/>
    </w:rPr>
  </w:style>
  <w:style w:type="paragraph" w:customStyle="1" w:styleId="132">
    <w:name w:val="xl7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0"/>
      <w:szCs w:val="20"/>
      <w:lang w:val="en-GB" w:eastAsia="en-GB"/>
    </w:rPr>
  </w:style>
  <w:style w:type="paragraph" w:customStyle="1" w:styleId="133">
    <w:name w:val="xl8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pPr>
    <w:rPr>
      <w:rFonts w:ascii="Times New Roman" w:hAnsi="Times New Roman" w:eastAsia="Times New Roman" w:cs="Times New Roman"/>
      <w:sz w:val="20"/>
      <w:szCs w:val="20"/>
      <w:lang w:val="en-GB" w:eastAsia="en-GB"/>
    </w:rPr>
  </w:style>
  <w:style w:type="paragraph" w:customStyle="1" w:styleId="134">
    <w:name w:val="xl8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pPr>
    <w:rPr>
      <w:rFonts w:ascii="Times New Roman" w:hAnsi="Times New Roman" w:eastAsia="Times New Roman" w:cs="Times New Roman"/>
      <w:b/>
      <w:bCs/>
      <w:sz w:val="20"/>
      <w:szCs w:val="20"/>
      <w:lang w:val="en-GB" w:eastAsia="en-GB"/>
    </w:rPr>
  </w:style>
  <w:style w:type="paragraph" w:customStyle="1" w:styleId="135">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color w:val="000000"/>
      <w:sz w:val="20"/>
      <w:szCs w:val="20"/>
      <w:lang w:val="en-GB" w:eastAsia="en-GB"/>
    </w:rPr>
  </w:style>
  <w:style w:type="paragraph" w:customStyle="1" w:styleId="136">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0"/>
      <w:szCs w:val="20"/>
      <w:lang w:val="en-GB" w:eastAsia="en-GB"/>
    </w:rPr>
  </w:style>
  <w:style w:type="paragraph" w:customStyle="1" w:styleId="137">
    <w:name w:val="xl8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0"/>
      <w:szCs w:val="20"/>
      <w:lang w:val="en-GB" w:eastAsia="en-GB"/>
    </w:rPr>
  </w:style>
  <w:style w:type="paragraph" w:customStyle="1" w:styleId="138">
    <w:name w:val="xl85"/>
    <w:basedOn w:val="1"/>
    <w:uiPriority w:val="0"/>
    <w:pPr>
      <w:pBdr>
        <w:top w:val="single" w:color="auto" w:sz="4" w:space="0"/>
        <w:left w:val="single" w:color="auto" w:sz="4" w:space="8"/>
        <w:bottom w:val="single" w:color="auto" w:sz="4" w:space="0"/>
        <w:right w:val="single" w:color="auto" w:sz="4" w:space="0"/>
      </w:pBdr>
      <w:spacing w:before="100" w:beforeAutospacing="1" w:after="100" w:afterAutospacing="1" w:line="240" w:lineRule="auto"/>
      <w:ind w:firstLine="100" w:firstLineChars="100"/>
    </w:pPr>
    <w:rPr>
      <w:rFonts w:ascii="Times New Roman" w:hAnsi="Times New Roman" w:eastAsia="Times New Roman" w:cs="Times New Roman"/>
      <w:sz w:val="20"/>
      <w:szCs w:val="20"/>
      <w:lang w:val="en-GB" w:eastAsia="en-GB"/>
    </w:rPr>
  </w:style>
  <w:style w:type="paragraph" w:customStyle="1" w:styleId="139">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pPr>
    <w:rPr>
      <w:rFonts w:ascii="Times New Roman" w:hAnsi="Times New Roman" w:eastAsia="Times New Roman" w:cs="Times New Roman"/>
      <w:sz w:val="24"/>
      <w:szCs w:val="24"/>
      <w:lang w:val="en-GB" w:eastAsia="en-GB"/>
    </w:rPr>
  </w:style>
  <w:style w:type="paragraph" w:customStyle="1" w:styleId="140">
    <w:name w:val="xl8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customStyle="1" w:styleId="141">
    <w:name w:val="xl8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4"/>
      <w:szCs w:val="24"/>
      <w:lang w:val="en-GB" w:eastAsia="en-GB"/>
    </w:rPr>
  </w:style>
  <w:style w:type="paragraph" w:customStyle="1" w:styleId="142">
    <w:name w:val="xl89"/>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43">
    <w:name w:val="xl90"/>
    <w:basedOn w:val="1"/>
    <w:uiPriority w:val="0"/>
    <w:pPr>
      <w:pBdr>
        <w:left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44">
    <w:name w:val="xl91"/>
    <w:basedOn w:val="1"/>
    <w:uiPriority w:val="0"/>
    <w:pPr>
      <w:pBdr>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45">
    <w:name w:val="xl92"/>
    <w:basedOn w:val="1"/>
    <w:qFormat/>
    <w:uiPriority w:val="0"/>
    <w:pPr>
      <w:pBdr>
        <w:left w:val="single" w:color="auto" w:sz="4" w:space="0"/>
        <w:right w:val="single" w:color="auto" w:sz="4" w:space="0"/>
      </w:pBdr>
      <w:spacing w:before="100" w:beforeAutospacing="1" w:after="100" w:afterAutospacing="1" w:line="240" w:lineRule="auto"/>
      <w:jc w:val="center"/>
    </w:pPr>
    <w:rPr>
      <w:rFonts w:ascii="Times New Roman" w:hAnsi="Times New Roman" w:eastAsia="Times New Roman" w:cs="Times New Roman"/>
      <w:b/>
      <w:bCs/>
      <w:sz w:val="21"/>
      <w:szCs w:val="21"/>
      <w:lang w:val="en-GB" w:eastAsia="en-GB"/>
    </w:rPr>
  </w:style>
  <w:style w:type="paragraph" w:customStyle="1" w:styleId="146">
    <w:name w:val="xl93"/>
    <w:basedOn w:val="1"/>
    <w:uiPriority w:val="0"/>
    <w:pPr>
      <w:pBdr>
        <w:top w:val="single" w:color="auto" w:sz="4" w:space="0"/>
        <w:left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customStyle="1" w:styleId="147">
    <w:name w:val="xl94"/>
    <w:basedOn w:val="1"/>
    <w:uiPriority w:val="0"/>
    <w:pPr>
      <w:pBdr>
        <w:left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customStyle="1" w:styleId="148">
    <w:name w:val="xl95"/>
    <w:basedOn w:val="1"/>
    <w:uiPriority w:val="0"/>
    <w:pPr>
      <w:pBdr>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customStyle="1" w:styleId="149">
    <w:name w:val="xl96"/>
    <w:basedOn w:val="1"/>
    <w:uiPriority w:val="0"/>
    <w:pPr>
      <w:pBdr>
        <w:top w:val="single" w:color="auto" w:sz="4" w:space="0"/>
        <w:left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1"/>
      <w:szCs w:val="21"/>
      <w:lang w:val="en-GB" w:eastAsia="en-GB"/>
    </w:rPr>
  </w:style>
  <w:style w:type="paragraph" w:customStyle="1" w:styleId="150">
    <w:name w:val="xl97"/>
    <w:basedOn w:val="1"/>
    <w:qFormat/>
    <w:uiPriority w:val="0"/>
    <w:pPr>
      <w:pBdr>
        <w:left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1"/>
      <w:szCs w:val="21"/>
      <w:lang w:val="en-GB" w:eastAsia="en-GB"/>
    </w:rPr>
  </w:style>
  <w:style w:type="paragraph" w:customStyle="1" w:styleId="151">
    <w:name w:val="xl98"/>
    <w:basedOn w:val="1"/>
    <w:qFormat/>
    <w:uiPriority w:val="0"/>
    <w:pPr>
      <w:pBdr>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1"/>
      <w:szCs w:val="21"/>
      <w:lang w:val="en-GB" w:eastAsia="en-GB"/>
    </w:rPr>
  </w:style>
  <w:style w:type="paragraph" w:customStyle="1" w:styleId="152">
    <w:name w:val="xl9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pPr>
    <w:rPr>
      <w:rFonts w:ascii="Times New Roman" w:hAnsi="Times New Roman" w:eastAsia="Times New Roman" w:cs="Times New Roman"/>
      <w:color w:val="000000"/>
      <w:sz w:val="20"/>
      <w:szCs w:val="20"/>
      <w:lang w:val="en-GB" w:eastAsia="en-GB"/>
    </w:rPr>
  </w:style>
  <w:style w:type="character" w:customStyle="1" w:styleId="153">
    <w:name w:val="Comment Text Char"/>
    <w:basedOn w:val="11"/>
    <w:link w:val="22"/>
    <w:semiHidden/>
    <w:qFormat/>
    <w:uiPriority w:val="99"/>
    <w:rPr>
      <w:rFonts w:ascii="Calibri" w:hAnsi="Calibri" w:eastAsia="Calibri" w:cs="Times New Roman"/>
      <w:sz w:val="20"/>
      <w:szCs w:val="20"/>
      <w:lang w:val="en-GB"/>
    </w:rPr>
  </w:style>
  <w:style w:type="character" w:customStyle="1" w:styleId="154">
    <w:name w:val="Comment Subject Char"/>
    <w:basedOn w:val="153"/>
    <w:link w:val="23"/>
    <w:semiHidden/>
    <w:qFormat/>
    <w:uiPriority w:val="99"/>
    <w:rPr>
      <w:rFonts w:ascii="Calibri" w:hAnsi="Calibri" w:eastAsia="Calibri" w:cs="Times New Roman"/>
      <w:b/>
      <w:bCs/>
      <w:sz w:val="20"/>
      <w:szCs w:val="20"/>
      <w:lang w:val="en-GB"/>
    </w:rPr>
  </w:style>
  <w:style w:type="paragraph" w:customStyle="1" w:styleId="155">
    <w:name w:val="Bullet indented"/>
    <w:basedOn w:val="1"/>
    <w:qFormat/>
    <w:uiPriority w:val="0"/>
    <w:pPr>
      <w:numPr>
        <w:ilvl w:val="0"/>
        <w:numId w:val="3"/>
      </w:numPr>
      <w:spacing w:after="200" w:line="240" w:lineRule="auto"/>
      <w:ind w:left="1080"/>
    </w:pPr>
    <w:rPr>
      <w:rFonts w:ascii="Gill Sans MT" w:hAnsi="Gill Sans MT" w:eastAsia="Times New Roman" w:cs="Times New Roman"/>
      <w:sz w:val="24"/>
      <w:szCs w:val="20"/>
      <w:lang w:val="en-GB"/>
    </w:rPr>
  </w:style>
  <w:style w:type="paragraph" w:customStyle="1" w:styleId="156">
    <w:name w:val="SEA Normal"/>
    <w:basedOn w:val="1"/>
    <w:qFormat/>
    <w:uiPriority w:val="0"/>
    <w:pPr>
      <w:tabs>
        <w:tab w:val="left" w:pos="567"/>
        <w:tab w:val="left" w:pos="7513"/>
      </w:tabs>
      <w:spacing w:after="0" w:line="320" w:lineRule="exact"/>
    </w:pPr>
    <w:rPr>
      <w:rFonts w:ascii="Times New Roman" w:hAnsi="Times New Roman" w:eastAsia="Times New Roman" w:cs="Times New Roman"/>
      <w:sz w:val="24"/>
      <w:szCs w:val="20"/>
      <w:lang w:val="en-GB"/>
    </w:rPr>
  </w:style>
  <w:style w:type="table" w:customStyle="1" w:styleId="157">
    <w:name w:val="Table Grid6"/>
    <w:basedOn w:val="12"/>
    <w:qFormat/>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8">
    <w:name w:val="Subtitle Char"/>
    <w:basedOn w:val="11"/>
    <w:link w:val="48"/>
    <w:qFormat/>
    <w:uiPriority w:val="11"/>
    <w:rPr>
      <w:rFonts w:eastAsia="Calibri" w:cs="Times New Roman" w:asciiTheme="majorHAnsi" w:hAnsiTheme="majorHAnsi"/>
      <w:b/>
      <w:sz w:val="24"/>
      <w:szCs w:val="28"/>
      <w:lang w:eastAsia="ja-JP"/>
    </w:rPr>
  </w:style>
  <w:style w:type="paragraph" w:customStyle="1" w:styleId="159">
    <w:name w:val="Inside Address"/>
    <w:basedOn w:val="1"/>
    <w:qFormat/>
    <w:uiPriority w:val="0"/>
    <w:pPr>
      <w:spacing w:before="100" w:after="100" w:line="240" w:lineRule="auto"/>
    </w:pPr>
    <w:rPr>
      <w:rFonts w:ascii="Times New Roman" w:hAnsi="Times New Roman" w:eastAsia="Times New Roman" w:cs="Times New Roman"/>
      <w:sz w:val="21"/>
      <w:szCs w:val="21"/>
      <w:lang w:val="en-GB"/>
    </w:rPr>
  </w:style>
  <w:style w:type="paragraph" w:customStyle="1" w:styleId="160">
    <w:name w:val="Source"/>
    <w:basedOn w:val="1"/>
    <w:next w:val="1"/>
    <w:qFormat/>
    <w:uiPriority w:val="0"/>
    <w:pPr>
      <w:spacing w:before="100" w:after="100" w:line="240" w:lineRule="auto"/>
      <w:jc w:val="both"/>
    </w:pPr>
    <w:rPr>
      <w:rFonts w:ascii="Helvetica 45 Light" w:hAnsi="Helvetica 45 Light" w:eastAsia="Times New Roman" w:cs="Times New Roman"/>
      <w:b/>
      <w:bCs/>
      <w:sz w:val="21"/>
      <w:szCs w:val="21"/>
      <w:lang w:val="en-GB"/>
    </w:rPr>
  </w:style>
  <w:style w:type="paragraph" w:customStyle="1" w:styleId="161">
    <w:name w:val="sstText"/>
    <w:basedOn w:val="1"/>
    <w:next w:val="1"/>
    <w:qFormat/>
    <w:uiPriority w:val="0"/>
    <w:pPr>
      <w:spacing w:after="0" w:line="240" w:lineRule="auto"/>
    </w:pPr>
    <w:rPr>
      <w:rFonts w:ascii="Times New Roman" w:hAnsi="Times New Roman" w:eastAsia="Times New Roman" w:cs="Times New Roman"/>
      <w:sz w:val="20"/>
      <w:szCs w:val="20"/>
      <w:lang w:val="en-GB"/>
    </w:rPr>
  </w:style>
  <w:style w:type="paragraph" w:customStyle="1" w:styleId="162">
    <w:name w:val="Head 1"/>
    <w:basedOn w:val="2"/>
    <w:next w:val="1"/>
    <w:qFormat/>
    <w:uiPriority w:val="0"/>
    <w:pPr>
      <w:keepLines w:val="0"/>
      <w:tabs>
        <w:tab w:val="left" w:pos="0"/>
      </w:tabs>
      <w:spacing w:after="600" w:line="240" w:lineRule="auto"/>
      <w:jc w:val="both"/>
      <w:outlineLvl w:val="9"/>
    </w:pPr>
    <w:rPr>
      <w:rFonts w:ascii="Helvetica 65 Medium" w:hAnsi="Helvetica 65 Medium" w:eastAsia="Times New Roman" w:cs="Times New Roman"/>
      <w:bCs/>
      <w:kern w:val="28"/>
      <w:sz w:val="36"/>
      <w:szCs w:val="36"/>
      <w:lang w:val="en-GB"/>
    </w:rPr>
  </w:style>
  <w:style w:type="paragraph" w:customStyle="1" w:styleId="163">
    <w:name w:val="Body Copy"/>
    <w:basedOn w:val="1"/>
    <w:qFormat/>
    <w:uiPriority w:val="0"/>
    <w:pPr>
      <w:spacing w:before="100" w:after="100" w:line="240" w:lineRule="auto"/>
      <w:jc w:val="both"/>
    </w:pPr>
    <w:rPr>
      <w:rFonts w:ascii="Times New Roman" w:hAnsi="Times New Roman" w:eastAsia="Times New Roman" w:cs="Times New Roman"/>
      <w:sz w:val="21"/>
      <w:szCs w:val="21"/>
      <w:lang w:val="en-GB"/>
    </w:rPr>
  </w:style>
  <w:style w:type="paragraph" w:customStyle="1" w:styleId="164">
    <w:name w:val="Doc Control"/>
    <w:basedOn w:val="1"/>
    <w:qFormat/>
    <w:uiPriority w:val="0"/>
    <w:pPr>
      <w:keepNext/>
      <w:spacing w:before="240" w:after="60" w:line="240" w:lineRule="auto"/>
      <w:jc w:val="both"/>
    </w:pPr>
    <w:rPr>
      <w:rFonts w:ascii="Helvetica 65 Medium" w:hAnsi="Helvetica 65 Medium" w:eastAsia="Times New Roman" w:cs="Times New Roman"/>
      <w:b/>
      <w:bCs/>
      <w:kern w:val="28"/>
      <w:sz w:val="28"/>
      <w:szCs w:val="28"/>
      <w:lang w:val="en-GB"/>
    </w:rPr>
  </w:style>
  <w:style w:type="paragraph" w:customStyle="1" w:styleId="165">
    <w:name w:val="Title Page Details"/>
    <w:basedOn w:val="1"/>
    <w:qFormat/>
    <w:uiPriority w:val="0"/>
    <w:pPr>
      <w:framePr w:wrap="around" w:vAnchor="page" w:hAnchor="page" w:x="5098" w:y="12192"/>
      <w:spacing w:before="100" w:after="100" w:line="240" w:lineRule="auto"/>
      <w:jc w:val="both"/>
    </w:pPr>
    <w:rPr>
      <w:rFonts w:ascii="Helvetica 65 Medium" w:hAnsi="Helvetica 65 Medium" w:eastAsia="Times New Roman" w:cs="Times New Roman"/>
      <w:sz w:val="16"/>
      <w:szCs w:val="16"/>
      <w:lang w:val="en-GB"/>
    </w:rPr>
  </w:style>
  <w:style w:type="paragraph" w:customStyle="1" w:styleId="166">
    <w:name w:val="Head 2"/>
    <w:basedOn w:val="3"/>
    <w:qFormat/>
    <w:uiPriority w:val="0"/>
    <w:pPr>
      <w:keepLines w:val="0"/>
      <w:spacing w:before="240" w:after="60" w:line="240" w:lineRule="auto"/>
      <w:jc w:val="both"/>
      <w:outlineLvl w:val="9"/>
    </w:pPr>
    <w:rPr>
      <w:rFonts w:ascii="Helvetica 65 Medium" w:hAnsi="Helvetica 65 Medium" w:eastAsia="Times New Roman" w:cs="Times New Roman"/>
      <w:bCs/>
      <w:i/>
      <w:iCs/>
      <w:kern w:val="28"/>
      <w:szCs w:val="28"/>
      <w:lang w:val="en-GB"/>
    </w:rPr>
  </w:style>
  <w:style w:type="paragraph" w:customStyle="1" w:styleId="167">
    <w:name w:val="Appendix Head"/>
    <w:basedOn w:val="162"/>
    <w:qFormat/>
    <w:uiPriority w:val="0"/>
  </w:style>
  <w:style w:type="paragraph" w:customStyle="1" w:styleId="168">
    <w:name w:val="P1details"/>
    <w:basedOn w:val="1"/>
    <w:qFormat/>
    <w:uiPriority w:val="0"/>
    <w:pPr>
      <w:framePr w:hSpace="181" w:wrap="around" w:vAnchor="margin" w:hAnchor="text" w:xAlign="right" w:yAlign="bottom"/>
      <w:spacing w:after="0" w:line="240" w:lineRule="auto"/>
      <w:jc w:val="right"/>
    </w:pPr>
    <w:rPr>
      <w:rFonts w:ascii="Helvetica 65 Medium" w:hAnsi="Helvetica 65 Medium" w:eastAsia="Times New Roman" w:cs="Times New Roman"/>
      <w:sz w:val="24"/>
      <w:szCs w:val="24"/>
      <w:lang w:val="en-GB"/>
    </w:rPr>
  </w:style>
  <w:style w:type="paragraph" w:customStyle="1" w:styleId="169">
    <w:name w:val="Appendices"/>
    <w:basedOn w:val="162"/>
    <w:qFormat/>
    <w:uiPriority w:val="0"/>
  </w:style>
  <w:style w:type="paragraph" w:customStyle="1" w:styleId="170">
    <w:name w:val="Management Summary"/>
    <w:basedOn w:val="2"/>
    <w:next w:val="1"/>
    <w:qFormat/>
    <w:uiPriority w:val="0"/>
    <w:pPr>
      <w:keepLines w:val="0"/>
      <w:tabs>
        <w:tab w:val="left" w:pos="0"/>
      </w:tabs>
      <w:spacing w:after="60" w:line="240" w:lineRule="auto"/>
      <w:outlineLvl w:val="9"/>
    </w:pPr>
    <w:rPr>
      <w:rFonts w:ascii="Helvetica 65 Medium" w:hAnsi="Helvetica 65 Medium" w:eastAsia="Times New Roman" w:cs="Times New Roman"/>
      <w:bCs/>
      <w:kern w:val="28"/>
      <w:lang w:val="en-GB"/>
    </w:rPr>
  </w:style>
  <w:style w:type="paragraph" w:customStyle="1" w:styleId="171">
    <w:name w:val="CopyrightNotice"/>
    <w:basedOn w:val="162"/>
    <w:qFormat/>
    <w:uiPriority w:val="0"/>
    <w:pPr>
      <w:spacing w:after="0"/>
    </w:pPr>
  </w:style>
  <w:style w:type="paragraph" w:customStyle="1" w:styleId="172">
    <w:name w:val="TOC 1a"/>
    <w:basedOn w:val="57"/>
    <w:uiPriority w:val="0"/>
    <w:pPr>
      <w:tabs>
        <w:tab w:val="left" w:pos="709"/>
        <w:tab w:val="right" w:pos="9026"/>
      </w:tabs>
      <w:spacing w:before="600" w:after="120" w:line="240" w:lineRule="auto"/>
    </w:pPr>
    <w:rPr>
      <w:rFonts w:ascii="Helvetica 65 Medium" w:hAnsi="Helvetica 65 Medium" w:eastAsia="Times New Roman" w:cstheme="minorHAnsi"/>
      <w:caps/>
      <w:sz w:val="20"/>
      <w:szCs w:val="20"/>
      <w:lang w:val="en-GB"/>
    </w:rPr>
  </w:style>
  <w:style w:type="paragraph" w:customStyle="1" w:styleId="173">
    <w:name w:val="TOC 1b"/>
    <w:basedOn w:val="57"/>
    <w:qFormat/>
    <w:uiPriority w:val="0"/>
    <w:pPr>
      <w:tabs>
        <w:tab w:val="left" w:pos="709"/>
        <w:tab w:val="right" w:pos="9026"/>
      </w:tabs>
      <w:spacing w:before="140" w:after="60" w:line="240" w:lineRule="auto"/>
    </w:pPr>
    <w:rPr>
      <w:rFonts w:ascii="Helvetica 65 Medium" w:hAnsi="Helvetica 65 Medium" w:eastAsia="Times New Roman" w:cstheme="minorHAnsi"/>
      <w:caps/>
      <w:sz w:val="20"/>
      <w:szCs w:val="20"/>
      <w:lang w:val="en-GB"/>
    </w:rPr>
  </w:style>
  <w:style w:type="paragraph" w:customStyle="1" w:styleId="174">
    <w:name w:val="sstTitle"/>
    <w:basedOn w:val="1"/>
    <w:next w:val="1"/>
    <w:uiPriority w:val="0"/>
    <w:pPr>
      <w:spacing w:after="0" w:line="240" w:lineRule="auto"/>
    </w:pPr>
    <w:rPr>
      <w:rFonts w:ascii="Arial" w:hAnsi="Arial" w:eastAsia="Times New Roman" w:cs="Arial"/>
      <w:b/>
      <w:bCs/>
      <w:sz w:val="20"/>
      <w:szCs w:val="20"/>
      <w:lang w:val="en-GB"/>
    </w:rPr>
  </w:style>
  <w:style w:type="paragraph" w:customStyle="1" w:styleId="175">
    <w:name w:val="sstHeading 2"/>
    <w:basedOn w:val="3"/>
    <w:next w:val="1"/>
    <w:qFormat/>
    <w:uiPriority w:val="0"/>
    <w:pPr>
      <w:keepLines w:val="0"/>
      <w:spacing w:before="240" w:after="60" w:line="240" w:lineRule="auto"/>
      <w:outlineLvl w:val="9"/>
    </w:pPr>
    <w:rPr>
      <w:rFonts w:ascii="Arial" w:hAnsi="Arial" w:eastAsia="Times New Roman" w:cs="Arial"/>
      <w:bCs/>
      <w:i/>
      <w:iCs/>
      <w:sz w:val="24"/>
      <w:szCs w:val="24"/>
      <w:lang w:val="en-GB"/>
    </w:rPr>
  </w:style>
  <w:style w:type="paragraph" w:customStyle="1" w:styleId="176">
    <w:name w:val="attribute"/>
    <w:basedOn w:val="18"/>
    <w:qFormat/>
    <w:uiPriority w:val="0"/>
    <w:pPr>
      <w:spacing w:before="100" w:line="240" w:lineRule="auto"/>
      <w:ind w:left="2160" w:hanging="2160"/>
    </w:pPr>
    <w:rPr>
      <w:rFonts w:eastAsia="Times New Roman"/>
    </w:rPr>
  </w:style>
  <w:style w:type="character" w:customStyle="1" w:styleId="177">
    <w:name w:val="Body Text Indent 3 Char"/>
    <w:basedOn w:val="11"/>
    <w:link w:val="19"/>
    <w:qFormat/>
    <w:uiPriority w:val="0"/>
    <w:rPr>
      <w:rFonts w:ascii="Times New Roman" w:hAnsi="Times New Roman" w:eastAsia="Times New Roman" w:cs="Times New Roman"/>
      <w:sz w:val="21"/>
      <w:szCs w:val="21"/>
      <w:lang w:val="en-GB"/>
    </w:rPr>
  </w:style>
  <w:style w:type="paragraph" w:customStyle="1" w:styleId="178">
    <w:name w:val="Bodytext"/>
    <w:basedOn w:val="1"/>
    <w:uiPriority w:val="0"/>
    <w:pPr>
      <w:tabs>
        <w:tab w:val="left" w:pos="709"/>
      </w:tabs>
      <w:spacing w:after="200" w:line="240" w:lineRule="auto"/>
      <w:ind w:left="706" w:hanging="706"/>
    </w:pPr>
    <w:rPr>
      <w:rFonts w:ascii="Gill Sans MT" w:hAnsi="Gill Sans MT" w:eastAsia="Times New Roman" w:cs="Times New Roman"/>
      <w:sz w:val="24"/>
      <w:szCs w:val="20"/>
      <w:lang w:val="en-GB"/>
    </w:rPr>
  </w:style>
  <w:style w:type="paragraph" w:customStyle="1" w:styleId="179">
    <w:name w:val="Caption Figure"/>
    <w:basedOn w:val="20"/>
    <w:next w:val="1"/>
    <w:uiPriority w:val="0"/>
    <w:pPr>
      <w:tabs>
        <w:tab w:val="left" w:pos="709"/>
      </w:tabs>
      <w:spacing w:after="100"/>
      <w:ind w:left="706"/>
    </w:pPr>
    <w:rPr>
      <w:rFonts w:ascii="Gill Sans MT" w:hAnsi="Gill Sans MT" w:eastAsia="Times New Roman"/>
      <w:bCs w:val="0"/>
      <w:color w:val="auto"/>
      <w:sz w:val="24"/>
      <w:szCs w:val="20"/>
    </w:rPr>
  </w:style>
  <w:style w:type="paragraph" w:customStyle="1" w:styleId="180">
    <w:name w:val="SEA Heading 5"/>
    <w:basedOn w:val="1"/>
    <w:uiPriority w:val="0"/>
    <w:pPr>
      <w:spacing w:after="0" w:line="320" w:lineRule="exact"/>
    </w:pPr>
    <w:rPr>
      <w:rFonts w:ascii="Arial" w:hAnsi="Arial" w:eastAsia="Times New Roman" w:cs="Times New Roman"/>
      <w:b/>
      <w:sz w:val="24"/>
      <w:szCs w:val="20"/>
      <w:lang w:val="en-GB"/>
    </w:rPr>
  </w:style>
  <w:style w:type="character" w:customStyle="1" w:styleId="181">
    <w:name w:val="Balloon Text Char1"/>
    <w:semiHidden/>
    <w:qFormat/>
    <w:uiPriority w:val="99"/>
    <w:rPr>
      <w:rFonts w:ascii="Tahoma" w:hAnsi="Tahoma" w:cs="Tahoma"/>
      <w:sz w:val="16"/>
      <w:szCs w:val="16"/>
    </w:rPr>
  </w:style>
  <w:style w:type="character" w:customStyle="1" w:styleId="182">
    <w:name w:val="inline_title"/>
    <w:basedOn w:val="11"/>
    <w:uiPriority w:val="0"/>
  </w:style>
  <w:style w:type="table" w:customStyle="1" w:styleId="183">
    <w:name w:val="Table Grid4"/>
    <w:basedOn w:val="12"/>
    <w:qFormat/>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84">
    <w:name w:val="Table Grid5"/>
    <w:basedOn w:val="12"/>
    <w:qFormat/>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85">
    <w:name w:val="Table Grid7"/>
    <w:basedOn w:val="12"/>
    <w:qFormat/>
    <w:uiPriority w:val="59"/>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86">
    <w:name w:val="Table Grid8"/>
    <w:basedOn w:val="12"/>
    <w:uiPriority w:val="59"/>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87">
    <w:name w:val="Table Grid9"/>
    <w:basedOn w:val="12"/>
    <w:qFormat/>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88">
    <w:name w:val="Table Grid10"/>
    <w:basedOn w:val="12"/>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89">
    <w:name w:val="Table Grid11"/>
    <w:basedOn w:val="12"/>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0">
    <w:name w:val="Table Grid12"/>
    <w:basedOn w:val="12"/>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1">
    <w:name w:val="Table Grid13"/>
    <w:basedOn w:val="12"/>
    <w:uiPriority w:val="59"/>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2">
    <w:name w:val="Table Grid14"/>
    <w:basedOn w:val="12"/>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3">
    <w:name w:val="Table Grid15"/>
    <w:basedOn w:val="12"/>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4">
    <w:name w:val="Table Grid16"/>
    <w:basedOn w:val="12"/>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5">
    <w:name w:val="Table Grid18"/>
    <w:basedOn w:val="12"/>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6">
    <w:name w:val="Table Grid19"/>
    <w:basedOn w:val="12"/>
    <w:qFormat/>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7">
    <w:name w:val="Table Grid20"/>
    <w:basedOn w:val="12"/>
    <w:qFormat/>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8">
    <w:name w:val="Table Grid21"/>
    <w:basedOn w:val="12"/>
    <w:qFormat/>
    <w:uiPriority w:val="59"/>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9">
    <w:name w:val="Intense Emphasis1"/>
    <w:qFormat/>
    <w:uiPriority w:val="0"/>
    <w:rPr>
      <w:rFonts w:cs="Times New Roman"/>
      <w:b/>
      <w:bCs/>
      <w:i/>
      <w:iCs/>
      <w:color w:val="4F81BD"/>
    </w:rPr>
  </w:style>
  <w:style w:type="character" w:customStyle="1" w:styleId="200">
    <w:name w:val="Header Char1"/>
    <w:basedOn w:val="11"/>
    <w:semiHidden/>
    <w:qFormat/>
    <w:uiPriority w:val="99"/>
  </w:style>
  <w:style w:type="paragraph" w:styleId="201">
    <w:name w:val="Quote"/>
    <w:basedOn w:val="1"/>
    <w:next w:val="1"/>
    <w:link w:val="202"/>
    <w:qFormat/>
    <w:uiPriority w:val="29"/>
    <w:rPr>
      <w:rFonts w:asciiTheme="majorHAnsi" w:hAnsiTheme="majorHAnsi"/>
      <w:b/>
      <w:iCs/>
      <w:color w:val="000000" w:themeColor="text1"/>
      <w:sz w:val="24"/>
      <w:lang w:val="en-US"/>
      <w14:textFill>
        <w14:solidFill>
          <w14:schemeClr w14:val="tx1"/>
        </w14:solidFill>
      </w14:textFill>
    </w:rPr>
  </w:style>
  <w:style w:type="character" w:customStyle="1" w:styleId="202">
    <w:name w:val="Quote Char"/>
    <w:basedOn w:val="11"/>
    <w:link w:val="201"/>
    <w:qFormat/>
    <w:uiPriority w:val="29"/>
    <w:rPr>
      <w:rFonts w:asciiTheme="majorHAnsi" w:hAnsiTheme="majorHAnsi"/>
      <w:b/>
      <w:iCs/>
      <w:color w:val="000000" w:themeColor="text1"/>
      <w:sz w:val="24"/>
      <w14:textFill>
        <w14:solidFill>
          <w14:schemeClr w14:val="tx1"/>
        </w14:solidFill>
      </w14:textFill>
    </w:rPr>
  </w:style>
  <w:style w:type="character" w:customStyle="1" w:styleId="203">
    <w:name w:val="Book Title1"/>
    <w:basedOn w:val="11"/>
    <w:qFormat/>
    <w:uiPriority w:val="33"/>
    <w:rPr>
      <w:b/>
      <w:bCs/>
      <w:smallCaps/>
      <w:spacing w:val="5"/>
      <w:sz w:val="24"/>
    </w:rPr>
  </w:style>
  <w:style w:type="paragraph" w:customStyle="1" w:styleId="204">
    <w:name w:val="ParaAttribute5"/>
    <w:uiPriority w:val="0"/>
    <w:pPr>
      <w:wordWrap w:val="0"/>
      <w:spacing w:after="200"/>
    </w:pPr>
    <w:rPr>
      <w:rFonts w:ascii="Times New Roman" w:hAnsi="Times New Roman" w:eastAsia="Batang" w:cs="Times New Roman"/>
      <w:lang w:val="en-US" w:eastAsia="en-US" w:bidi="ar-SA"/>
    </w:rPr>
  </w:style>
  <w:style w:type="character" w:customStyle="1" w:styleId="205">
    <w:name w:val="CharAttribute11"/>
    <w:qFormat/>
    <w:uiPriority w:val="0"/>
    <w:rPr>
      <w:rFonts w:ascii="Cambria" w:eastAsia="Cambria"/>
      <w:b/>
      <w:sz w:val="22"/>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hart" Target="charts/chart1.xml"/><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png"/><Relationship Id="rId13" Type="http://schemas.openxmlformats.org/officeDocument/2006/relationships/image" Target="media/image4.emf"/><Relationship Id="rId12" Type="http://schemas.openxmlformats.org/officeDocument/2006/relationships/oleObject" Target="embeddings/oleObject2.bin"/><Relationship Id="rId11" Type="http://schemas.openxmlformats.org/officeDocument/2006/relationships/image" Target="media/image3.emf"/><Relationship Id="rId10" Type="http://schemas.openxmlformats.org/officeDocument/2006/relationships/oleObject" Target="embeddings/oleObject1.bin"/><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oleObject" Target="file:///C:\Users\USER\Desktop\revised%20tables%20-%20ER%20-%20Niov%2013\extra_district_tabs%20Eastern%20Reg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479632283026394"/>
          <c:y val="0.0499609679937549"/>
          <c:w val="0.760245728883222"/>
          <c:h val="0.887426530700052"/>
        </c:manualLayout>
      </c:layout>
      <c:barChart>
        <c:barDir val="bar"/>
        <c:grouping val="clustered"/>
        <c:varyColors val="0"/>
        <c:ser>
          <c:idx val="0"/>
          <c:order val="0"/>
          <c:tx>
            <c:strRef>
              <c:f>Sheet1!$L$8</c:f>
              <c:strCache>
                <c:ptCount val="1"/>
                <c:pt idx="0">
                  <c:v>Males</c:v>
                </c:pt>
              </c:strCache>
            </c:strRef>
          </c:tx>
          <c:spPr>
            <a:solidFill>
              <a:srgbClr val="C00000"/>
            </a:solidFill>
            <a:ln>
              <a:solidFill>
                <a:schemeClr val="tx1"/>
              </a:solidFill>
            </a:ln>
          </c:spPr>
          <c:invertIfNegative val="0"/>
          <c:dLbls>
            <c:delete val="1"/>
          </c:dLbls>
          <c:cat>
            <c:strRef>
              <c:f>Sheet1!$K$9:$K$26</c:f>
              <c:strCache>
                <c:ptCount val="18"/>
                <c:pt idx="0">
                  <c:v>0 - 4</c:v>
                </c:pt>
                <c:pt idx="1">
                  <c:v>5 - 9</c:v>
                </c:pt>
                <c:pt idx="2">
                  <c:v>10 - 14</c:v>
                </c:pt>
                <c:pt idx="3">
                  <c:v>15 - 19</c:v>
                </c:pt>
                <c:pt idx="4">
                  <c:v>20 - 24</c:v>
                </c:pt>
                <c:pt idx="5">
                  <c:v>25 - 29</c:v>
                </c:pt>
                <c:pt idx="6">
                  <c:v>30 - 34</c:v>
                </c:pt>
                <c:pt idx="7">
                  <c:v>35 - 39</c:v>
                </c:pt>
                <c:pt idx="8">
                  <c:v>40 - 44</c:v>
                </c:pt>
                <c:pt idx="9">
                  <c:v>45 - 49</c:v>
                </c:pt>
                <c:pt idx="10">
                  <c:v>50 - 54</c:v>
                </c:pt>
                <c:pt idx="11">
                  <c:v>55 - 59</c:v>
                </c:pt>
                <c:pt idx="12">
                  <c:v>60 - 64</c:v>
                </c:pt>
                <c:pt idx="13">
                  <c:v>65 - 69</c:v>
                </c:pt>
                <c:pt idx="14">
                  <c:v>70 - 74</c:v>
                </c:pt>
                <c:pt idx="15">
                  <c:v>75 - 79</c:v>
                </c:pt>
                <c:pt idx="16">
                  <c:v>80 - 84</c:v>
                </c:pt>
                <c:pt idx="17">
                  <c:v>85 +</c:v>
                </c:pt>
              </c:strCache>
            </c:strRef>
          </c:cat>
          <c:val>
            <c:numRef>
              <c:f>Sheet1!$L$9:$L$26</c:f>
              <c:numCache>
                <c:formatCode>_(* #,##0_);_(* \(#,##0\);_(* "-"??_);_(@_)</c:formatCode>
                <c:ptCount val="18"/>
                <c:pt idx="0">
                  <c:v>-5974</c:v>
                </c:pt>
                <c:pt idx="1">
                  <c:v>-5134</c:v>
                </c:pt>
                <c:pt idx="2">
                  <c:v>-5084</c:v>
                </c:pt>
                <c:pt idx="3">
                  <c:v>-4129</c:v>
                </c:pt>
                <c:pt idx="4">
                  <c:v>-2933</c:v>
                </c:pt>
                <c:pt idx="5">
                  <c:v>-2830</c:v>
                </c:pt>
                <c:pt idx="6">
                  <c:v>-2443</c:v>
                </c:pt>
                <c:pt idx="7">
                  <c:v>-2109</c:v>
                </c:pt>
                <c:pt idx="8">
                  <c:v>-1966</c:v>
                </c:pt>
                <c:pt idx="9">
                  <c:v>-1779</c:v>
                </c:pt>
                <c:pt idx="10">
                  <c:v>-1487</c:v>
                </c:pt>
                <c:pt idx="11">
                  <c:v>-1027</c:v>
                </c:pt>
                <c:pt idx="12">
                  <c:v>-901</c:v>
                </c:pt>
                <c:pt idx="13">
                  <c:v>-495</c:v>
                </c:pt>
                <c:pt idx="14">
                  <c:v>-525</c:v>
                </c:pt>
                <c:pt idx="15">
                  <c:v>-312</c:v>
                </c:pt>
                <c:pt idx="16">
                  <c:v>-233</c:v>
                </c:pt>
                <c:pt idx="17">
                  <c:v>-211</c:v>
                </c:pt>
              </c:numCache>
            </c:numRef>
          </c:val>
        </c:ser>
        <c:ser>
          <c:idx val="1"/>
          <c:order val="1"/>
          <c:tx>
            <c:strRef>
              <c:f>Sheet1!$M$8</c:f>
              <c:strCache>
                <c:ptCount val="1"/>
                <c:pt idx="0">
                  <c:v>Females</c:v>
                </c:pt>
              </c:strCache>
            </c:strRef>
          </c:tx>
          <c:spPr>
            <a:solidFill>
              <a:srgbClr val="FFFF00"/>
            </a:solidFill>
            <a:ln>
              <a:solidFill>
                <a:schemeClr val="tx1"/>
              </a:solidFill>
            </a:ln>
          </c:spPr>
          <c:invertIfNegative val="0"/>
          <c:dLbls>
            <c:delete val="1"/>
          </c:dLbls>
          <c:cat>
            <c:strRef>
              <c:f>Sheet1!$K$9:$K$26</c:f>
              <c:strCache>
                <c:ptCount val="18"/>
                <c:pt idx="0">
                  <c:v>0 - 4</c:v>
                </c:pt>
                <c:pt idx="1">
                  <c:v>5 - 9</c:v>
                </c:pt>
                <c:pt idx="2">
                  <c:v>10 - 14</c:v>
                </c:pt>
                <c:pt idx="3">
                  <c:v>15 - 19</c:v>
                </c:pt>
                <c:pt idx="4">
                  <c:v>20 - 24</c:v>
                </c:pt>
                <c:pt idx="5">
                  <c:v>25 - 29</c:v>
                </c:pt>
                <c:pt idx="6">
                  <c:v>30 - 34</c:v>
                </c:pt>
                <c:pt idx="7">
                  <c:v>35 - 39</c:v>
                </c:pt>
                <c:pt idx="8">
                  <c:v>40 - 44</c:v>
                </c:pt>
                <c:pt idx="9">
                  <c:v>45 - 49</c:v>
                </c:pt>
                <c:pt idx="10">
                  <c:v>50 - 54</c:v>
                </c:pt>
                <c:pt idx="11">
                  <c:v>55 - 59</c:v>
                </c:pt>
                <c:pt idx="12">
                  <c:v>60 - 64</c:v>
                </c:pt>
                <c:pt idx="13">
                  <c:v>65 - 69</c:v>
                </c:pt>
                <c:pt idx="14">
                  <c:v>70 - 74</c:v>
                </c:pt>
                <c:pt idx="15">
                  <c:v>75 - 79</c:v>
                </c:pt>
                <c:pt idx="16">
                  <c:v>80 - 84</c:v>
                </c:pt>
                <c:pt idx="17">
                  <c:v>85 +</c:v>
                </c:pt>
              </c:strCache>
            </c:strRef>
          </c:cat>
          <c:val>
            <c:numRef>
              <c:f>Sheet1!$M$9:$M$26</c:f>
              <c:numCache>
                <c:formatCode>_(* #,##0_);_(* \(#,##0\);_(* "-"??_);_(@_)</c:formatCode>
                <c:ptCount val="18"/>
                <c:pt idx="0">
                  <c:v>5586</c:v>
                </c:pt>
                <c:pt idx="1">
                  <c:v>4985</c:v>
                </c:pt>
                <c:pt idx="2">
                  <c:v>4688</c:v>
                </c:pt>
                <c:pt idx="3">
                  <c:v>3944</c:v>
                </c:pt>
                <c:pt idx="4">
                  <c:v>3300</c:v>
                </c:pt>
                <c:pt idx="5">
                  <c:v>3113</c:v>
                </c:pt>
                <c:pt idx="6">
                  <c:v>2374</c:v>
                </c:pt>
                <c:pt idx="7">
                  <c:v>2161</c:v>
                </c:pt>
                <c:pt idx="8">
                  <c:v>1960</c:v>
                </c:pt>
                <c:pt idx="9">
                  <c:v>1681</c:v>
                </c:pt>
                <c:pt idx="10">
                  <c:v>1558</c:v>
                </c:pt>
                <c:pt idx="11">
                  <c:v>946</c:v>
                </c:pt>
                <c:pt idx="12">
                  <c:v>775</c:v>
                </c:pt>
                <c:pt idx="13">
                  <c:v>528</c:v>
                </c:pt>
                <c:pt idx="14">
                  <c:v>662</c:v>
                </c:pt>
                <c:pt idx="15">
                  <c:v>388</c:v>
                </c:pt>
                <c:pt idx="16">
                  <c:v>340</c:v>
                </c:pt>
                <c:pt idx="17">
                  <c:v>346</c:v>
                </c:pt>
              </c:numCache>
            </c:numRef>
          </c:val>
        </c:ser>
        <c:dLbls>
          <c:showLegendKey val="0"/>
          <c:showVal val="0"/>
          <c:showCatName val="0"/>
          <c:showSerName val="0"/>
          <c:showPercent val="0"/>
          <c:showBubbleSize val="0"/>
        </c:dLbls>
        <c:gapWidth val="0"/>
        <c:overlap val="100"/>
        <c:axId val="252854304"/>
        <c:axId val="252854696"/>
      </c:barChart>
      <c:catAx>
        <c:axId val="252854304"/>
        <c:scaling>
          <c:orientation val="minMax"/>
        </c:scaling>
        <c:delete val="0"/>
        <c:axPos val="l"/>
        <c:numFmt formatCode="General" sourceLinked="0"/>
        <c:majorTickMark val="out"/>
        <c:minorTickMark val="none"/>
        <c:tickLblPos val="low"/>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252854696"/>
        <c:crosses val="autoZero"/>
        <c:auto val="1"/>
        <c:lblAlgn val="ctr"/>
        <c:lblOffset val="100"/>
        <c:noMultiLvlLbl val="0"/>
      </c:catAx>
      <c:valAx>
        <c:axId val="252854696"/>
        <c:scaling>
          <c:orientation val="minMax"/>
        </c:scaling>
        <c:delete val="0"/>
        <c:axPos val="b"/>
        <c:numFmt formatCode="_(* #,##0_);_(* \(#,##0\);_(* &quot;-&quot;??_);_(@_)"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252854304"/>
        <c:crosses val="autoZero"/>
        <c:crossBetween val="midCat"/>
      </c:valAx>
      <c:spPr>
        <a:noFill/>
        <a:ln w="25400">
          <a:noFill/>
        </a:ln>
      </c:spPr>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en-US"/>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8CF4E-B958-4BCC-B344-7ED145BCE041}">
  <ds:schemaRefs/>
</ds:datastoreItem>
</file>

<file path=docProps/app.xml><?xml version="1.0" encoding="utf-8"?>
<Properties xmlns="http://schemas.openxmlformats.org/officeDocument/2006/extended-properties" xmlns:vt="http://schemas.openxmlformats.org/officeDocument/2006/docPropsVTypes">
  <Template>Normal</Template>
  <Pages>53</Pages>
  <Words>10864</Words>
  <Characters>61929</Characters>
  <Lines>516</Lines>
  <Paragraphs>145</Paragraphs>
  <TotalTime>5482</TotalTime>
  <ScaleCrop>false</ScaleCrop>
  <LinksUpToDate>false</LinksUpToDate>
  <CharactersWithSpaces>72648</CharactersWithSpaces>
  <Application>WPS Office_12.2.0.13201_F1E327BC-269C-435d-A152-05C5408002CA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2022-09-06T16:36:00Z</dcterms:created>
  <dc:creator>Frederick Antwi</dc:creator>
  <cp:lastModifiedBy>Frederick Antwi</cp:lastModifiedBy>
  <cp:lastPrinted>2023-04-27T14:51:00Z</cp:lastPrinted>
  <dcterms:modified xsi:type="dcterms:W3CDTF">2023-09-01T10:30:18Z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1669b901ff44058c4447683fe3aad6a780db4b6f66bf08872b3db69db7ff8509</vt:lpwstr>
  </property>
  <property fmtid="{D5CDD505-2E9C-101B-9397-08002B2CF9AE}" pid="3" name="KSOProductBuildVer">
    <vt:lpwstr>1033-12.2.0.13201</vt:lpwstr>
  </property>
  <property fmtid="{D5CDD505-2E9C-101B-9397-08002B2CF9AE}" pid="4" name="ICV">
    <vt:lpwstr>702030C2FEA3462C996893A0DB0AC428</vt:lpwstr>
  </property>
</Properties>
</file>