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wdp" ContentType="image/vnd.ms-photo"/>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97D33">
      <w:pPr>
        <w:rPr>
          <w:rFonts w:ascii="Times New Roman" w:hAnsi="Times New Roman" w:cs="Times New Roman"/>
        </w:rPr>
      </w:pPr>
      <w:r>
        <w:rPr>
          <w:rFonts w:ascii="Times New Roman" w:hAnsi="Times New Roman" w:cs="Times New Roman"/>
        </w:rPr>
        <w:drawing>
          <wp:inline distT="0" distB="0" distL="0" distR="0">
            <wp:extent cx="6814185" cy="9291320"/>
            <wp:effectExtent l="0" t="0" r="5715" b="5080"/>
            <wp:docPr id="915901444" name="Picture 91590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4" name="Picture 9159014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15492" cy="9292990"/>
                    </a:xfrm>
                    <a:prstGeom prst="rect">
                      <a:avLst/>
                    </a:prstGeom>
                    <a:noFill/>
                  </pic:spPr>
                </pic:pic>
              </a:graphicData>
            </a:graphic>
          </wp:inline>
        </w:drawing>
      </w:r>
    </w:p>
    <w:p w14:paraId="0647CA05">
      <w:pPr>
        <w:tabs>
          <w:tab w:val="left" w:pos="5040"/>
        </w:tabs>
        <w:spacing w:before="240" w:after="6" w:line="360" w:lineRule="auto"/>
        <w:ind w:left="209" w:hanging="10"/>
        <w:jc w:val="center"/>
        <w:rPr>
          <w:rFonts w:ascii="Times New Roman" w:hAnsi="Times New Roman" w:eastAsia="Aptos" w:cs="Times New Roman"/>
          <w:b/>
          <w:kern w:val="2"/>
          <w:sz w:val="36"/>
          <w:szCs w:val="36"/>
          <w:lang w:val="zh-CN"/>
          <w14:ligatures w14:val="standardContextual"/>
        </w:rPr>
      </w:pPr>
      <w:r>
        <w:rPr>
          <w:rFonts w:ascii="Times New Roman" w:hAnsi="Times New Roman" w:eastAsia="Aptos" w:cs="Times New Roman"/>
          <w:b/>
          <w:kern w:val="2"/>
          <w:lang w:val="zh-CN"/>
          <w14:ligatures w14:val="standardContextual"/>
        </w:rPr>
        <w:drawing>
          <wp:anchor distT="0" distB="0" distL="114300" distR="114300" simplePos="0" relativeHeight="251684864" behindDoc="0" locked="0" layoutInCell="1" allowOverlap="1">
            <wp:simplePos x="0" y="0"/>
            <wp:positionH relativeFrom="margin">
              <wp:align>right</wp:align>
            </wp:positionH>
            <wp:positionV relativeFrom="margin">
              <wp:posOffset>-163830</wp:posOffset>
            </wp:positionV>
            <wp:extent cx="991870" cy="103632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91870" cy="1036320"/>
                    </a:xfrm>
                    <a:prstGeom prst="rect">
                      <a:avLst/>
                    </a:prstGeom>
                    <a:noFill/>
                    <a:ln w="9525">
                      <a:noFill/>
                      <a:miter lim="800000"/>
                      <a:headEnd/>
                      <a:tailEnd/>
                    </a:ln>
                  </pic:spPr>
                </pic:pic>
              </a:graphicData>
            </a:graphic>
          </wp:anchor>
        </w:drawing>
      </w:r>
      <w:r>
        <w:rPr>
          <w:rFonts w:ascii="Times New Roman" w:hAnsi="Times New Roman" w:eastAsia="Aptos" w:cs="Times New Roman"/>
          <w:kern w:val="2"/>
          <w:lang w:val="zh-CN"/>
          <w14:ligatures w14:val="standardContextual"/>
        </w:rPr>
        <w:drawing>
          <wp:anchor distT="0" distB="0" distL="114300" distR="114300" simplePos="0" relativeHeight="251681792" behindDoc="0" locked="0" layoutInCell="1" allowOverlap="1">
            <wp:simplePos x="0" y="0"/>
            <wp:positionH relativeFrom="margin">
              <wp:posOffset>-37465</wp:posOffset>
            </wp:positionH>
            <wp:positionV relativeFrom="page">
              <wp:posOffset>467360</wp:posOffset>
            </wp:positionV>
            <wp:extent cx="993775" cy="962025"/>
            <wp:effectExtent l="0" t="0" r="0" b="9525"/>
            <wp:wrapNone/>
            <wp:docPr id="915901445" name="Picture 91590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5" name="Picture 9159014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93775" cy="962025"/>
                    </a:xfrm>
                    <a:prstGeom prst="rect">
                      <a:avLst/>
                    </a:prstGeom>
                    <a:noFill/>
                  </pic:spPr>
                </pic:pic>
              </a:graphicData>
            </a:graphic>
          </wp:anchor>
        </w:drawing>
      </w:r>
      <w:r>
        <w:rPr>
          <w:rFonts w:ascii="Times New Roman" w:hAnsi="Times New Roman" w:eastAsia="Aptos" w:cs="Times New Roman"/>
          <w:b/>
          <w:kern w:val="2"/>
          <w:sz w:val="36"/>
          <w:szCs w:val="36"/>
          <w:lang w:val="zh-CN"/>
          <w14:ligatures w14:val="standardContextual"/>
        </w:rPr>
        <w:t>BIRIM NORTH DISTRICT ASSEMBLY</w:t>
      </w:r>
    </w:p>
    <w:p w14:paraId="0B1DC69C">
      <w:pPr>
        <w:rPr>
          <w:rFonts w:ascii="Times New Roman" w:hAnsi="Times New Roman" w:eastAsia="Aptos" w:cs="Times New Roman"/>
          <w:kern w:val="2"/>
          <w:lang w:val="zh-CN"/>
          <w14:ligatures w14:val="standardContextual"/>
        </w:rPr>
      </w:pPr>
    </w:p>
    <w:p w14:paraId="10590945">
      <w:pPr>
        <w:rPr>
          <w:rFonts w:ascii="Times New Roman" w:hAnsi="Times New Roman" w:eastAsia="Aptos" w:cs="Times New Roman"/>
          <w:kern w:val="2"/>
          <w:lang w:val="zh-CN"/>
          <w14:ligatures w14:val="standardContextual"/>
        </w:rPr>
      </w:pPr>
      <w:r>
        <w:rPr>
          <w:rFonts w:ascii="Times New Roman" w:hAnsi="Times New Roman" w:eastAsia="Aptos" w:cs="Times New Roman"/>
          <w:b/>
          <w:kern w:val="2"/>
          <w:lang w:val="zh-CN"/>
          <w14:ligatures w14:val="standardContextual"/>
        </w:rPr>
        <w:t xml:space="preserve">         </w:t>
      </w:r>
    </w:p>
    <w:p w14:paraId="42C55131">
      <w:pPr>
        <w:rPr>
          <w:rFonts w:ascii="Times New Roman" w:hAnsi="Times New Roman" w:eastAsia="Aptos" w:cs="Times New Roman"/>
          <w:kern w:val="2"/>
          <w:lang w:val="zh-CN"/>
          <w14:ligatures w14:val="standardContextual"/>
        </w:rPr>
      </w:pPr>
      <w:r>
        <w:rPr>
          <w:rFonts w:ascii="Times New Roman" w:hAnsi="Times New Roman" w:eastAsia="Aptos" w:cs="Times New Roman"/>
          <w:kern w:val="2"/>
          <w:lang w:val="zh-CN"/>
          <w14:ligatures w14:val="standardContextual"/>
        </w:rPr>
        <w:t xml:space="preserve"> </w:t>
      </w:r>
      <w:r>
        <w:rPr>
          <w:rFonts w:ascii="Times New Roman" w:hAnsi="Times New Roman" w:eastAsia="Aptos" w:cs="Times New Roman"/>
          <w:kern w:val="2"/>
          <w:lang w:val="zh-CN"/>
          <w14:ligatures w14:val="standardContextual"/>
        </w:rPr>
        <w:tab/>
      </w:r>
    </w:p>
    <w:p w14:paraId="26C89653">
      <w:pPr>
        <w:rPr>
          <w:rFonts w:ascii="Times New Roman" w:hAnsi="Times New Roman" w:eastAsia="Aptos" w:cs="Times New Roman"/>
          <w:kern w:val="2"/>
          <w:lang w:val="zh-CN"/>
          <w14:ligatures w14:val="standardContextual"/>
        </w:rPr>
      </w:pPr>
    </w:p>
    <w:p w14:paraId="783BB99A">
      <w:pPr>
        <w:rPr>
          <w:rFonts w:ascii="Times New Roman" w:hAnsi="Times New Roman" w:eastAsia="Aptos" w:cs="Times New Roman"/>
          <w:kern w:val="2"/>
          <w:lang w:val="zh-CN"/>
          <w14:ligatures w14:val="standardContextual"/>
        </w:rPr>
      </w:pPr>
    </w:p>
    <w:p w14:paraId="264C45C7">
      <w:pPr>
        <w:jc w:val="center"/>
        <w:rPr>
          <w:rFonts w:ascii="Times New Roman" w:hAnsi="Times New Roman" w:eastAsia="Aptos" w:cs="Times New Roman"/>
          <w:kern w:val="2"/>
          <w:lang w:val="zh-CN"/>
          <w14:ligatures w14:val="standardContextual"/>
        </w:rPr>
      </w:pPr>
      <w:r>
        <w:rPr>
          <w:rFonts w:ascii="Times New Roman" w:hAnsi="Times New Roman" w:eastAsia="Aptos" w:cs="Times New Roman"/>
          <w:b/>
          <w:i/>
          <w:kern w:val="2"/>
          <w:sz w:val="28"/>
          <w:szCs w:val="32"/>
          <w:lang w:val="zh-CN"/>
          <w14:ligatures w14:val="standardContextual"/>
        </w:rPr>
        <w:t>FIRST QUARTER PROGRESS REPORT ON THE IMPLEMENTATION OF THE MEDIUM- TERM DEVELOPMENT PLAN</w:t>
      </w:r>
      <w:r>
        <w:rPr>
          <w:rFonts w:ascii="Times New Roman" w:hAnsi="Times New Roman" w:eastAsia="Aptos" w:cs="Times New Roman"/>
          <w:b/>
          <w:i/>
          <w:kern w:val="2"/>
          <w:sz w:val="32"/>
          <w:szCs w:val="32"/>
          <w:lang w:val="zh-CN"/>
          <w14:ligatures w14:val="standardContextual"/>
        </w:rPr>
        <w:t xml:space="preserve">, </w:t>
      </w:r>
      <w:r>
        <w:rPr>
          <w:rFonts w:ascii="Times New Roman" w:hAnsi="Times New Roman" w:eastAsia="Aptos" w:cs="Times New Roman"/>
          <w:b/>
          <w:i/>
          <w:kern w:val="2"/>
          <w:sz w:val="28"/>
          <w:szCs w:val="32"/>
          <w:lang w:val="zh-CN"/>
          <w14:ligatures w14:val="standardContextual"/>
        </w:rPr>
        <w:t>2026-2029</w:t>
      </w:r>
    </w:p>
    <w:p w14:paraId="571DAE72">
      <w:pPr>
        <w:rPr>
          <w:rFonts w:ascii="Aptos" w:hAnsi="Aptos" w:eastAsia="Aptos" w:cs="Times New Roman"/>
          <w:kern w:val="2"/>
          <w:lang w:val="zh-CN"/>
          <w14:ligatures w14:val="standardContextual"/>
        </w:rPr>
      </w:pPr>
      <w:r>
        <w:rPr>
          <w:rFonts w:ascii="Aptos" w:hAnsi="Aptos" w:eastAsia="Aptos" w:cs="Times New Roman"/>
          <w:i/>
          <w:kern w:val="2"/>
          <w:sz w:val="28"/>
          <w:szCs w:val="30"/>
          <w:lang w:val="zh-CN"/>
          <w14:ligatures w14:val="standardContextual"/>
        </w:rPr>
        <w:drawing>
          <wp:anchor distT="0" distB="0" distL="114300" distR="114300" simplePos="0" relativeHeight="251682816" behindDoc="0" locked="0" layoutInCell="1" allowOverlap="1">
            <wp:simplePos x="0" y="0"/>
            <wp:positionH relativeFrom="margin">
              <wp:posOffset>84455</wp:posOffset>
            </wp:positionH>
            <wp:positionV relativeFrom="paragraph">
              <wp:posOffset>27940</wp:posOffset>
            </wp:positionV>
            <wp:extent cx="3488055" cy="2685415"/>
            <wp:effectExtent l="0" t="0" r="0" b="635"/>
            <wp:wrapNone/>
            <wp:docPr id="915901447" name="Picture 91590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7" name="Picture 9159014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487783" cy="2685415"/>
                    </a:xfrm>
                    <a:prstGeom prst="rect">
                      <a:avLst/>
                    </a:prstGeom>
                    <a:noFill/>
                  </pic:spPr>
                </pic:pic>
              </a:graphicData>
            </a:graphic>
          </wp:anchor>
        </w:drawing>
      </w:r>
      <w:r>
        <w:rPr>
          <w:rFonts w:ascii="Aptos" w:hAnsi="Aptos" w:eastAsia="Aptos" w:cs="Times New Roman"/>
          <w:b/>
          <w:i/>
          <w:kern w:val="2"/>
          <w:sz w:val="28"/>
          <w:szCs w:val="32"/>
          <w:lang w:val="zh-CN"/>
          <w14:ligatures w14:val="standardContextual"/>
        </w:rPr>
        <w:drawing>
          <wp:anchor distT="0" distB="0" distL="114300" distR="114300" simplePos="0" relativeHeight="251683840" behindDoc="0" locked="0" layoutInCell="1" allowOverlap="1">
            <wp:simplePos x="0" y="0"/>
            <wp:positionH relativeFrom="margin">
              <wp:align>right</wp:align>
            </wp:positionH>
            <wp:positionV relativeFrom="paragraph">
              <wp:posOffset>8255</wp:posOffset>
            </wp:positionV>
            <wp:extent cx="3323590" cy="2688590"/>
            <wp:effectExtent l="0" t="0" r="0" b="0"/>
            <wp:wrapNone/>
            <wp:docPr id="915901457" name="Picture 91590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57" name="Picture 9159014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323590" cy="2688590"/>
                    </a:xfrm>
                    <a:prstGeom prst="rect">
                      <a:avLst/>
                    </a:prstGeom>
                    <a:noFill/>
                  </pic:spPr>
                </pic:pic>
              </a:graphicData>
            </a:graphic>
          </wp:anchor>
        </w:drawing>
      </w:r>
      <w:r>
        <w:rPr>
          <w:rFonts w:ascii="Aptos" w:hAnsi="Aptos" w:eastAsia="Aptos" w:cs="Times New Roman"/>
          <w:kern w:val="2"/>
          <w:lang w:val="zh-CN"/>
          <w14:ligatures w14:val="standardContextual"/>
        </w:rPr>
        <w:t xml:space="preserve">                                 </w:t>
      </w:r>
    </w:p>
    <w:p w14:paraId="28BA2C5F">
      <w:pPr>
        <w:rPr>
          <w:rFonts w:ascii="Aptos" w:hAnsi="Aptos" w:eastAsia="Aptos" w:cs="Times New Roman"/>
          <w:kern w:val="2"/>
          <w:lang w:val="zh-CN"/>
          <w14:ligatures w14:val="standardContextual"/>
        </w:rPr>
      </w:pPr>
    </w:p>
    <w:p w14:paraId="09451401">
      <w:pPr>
        <w:rPr>
          <w:rFonts w:ascii="Aptos" w:hAnsi="Aptos" w:eastAsia="Aptos" w:cs="Times New Roman"/>
          <w:kern w:val="2"/>
          <w:lang w:val="zh-CN"/>
          <w14:ligatures w14:val="standardContextual"/>
        </w:rPr>
      </w:pPr>
    </w:p>
    <w:p w14:paraId="3A1D1586">
      <w:pPr>
        <w:rPr>
          <w:rFonts w:ascii="Aptos" w:hAnsi="Aptos" w:eastAsia="Aptos" w:cs="Times New Roman"/>
          <w:b/>
          <w:i/>
          <w:kern w:val="2"/>
          <w:sz w:val="28"/>
          <w:szCs w:val="32"/>
          <w:lang w:val="zh-CN"/>
          <w14:ligatures w14:val="standardContextual"/>
        </w:rPr>
      </w:pPr>
    </w:p>
    <w:p w14:paraId="08CF8123">
      <w:pPr>
        <w:rPr>
          <w:rFonts w:ascii="Aptos" w:hAnsi="Aptos" w:eastAsia="Aptos" w:cs="Times New Roman"/>
          <w:kern w:val="2"/>
          <w:lang w:val="zh-CN"/>
          <w14:ligatures w14:val="standardContextual"/>
        </w:rPr>
      </w:pPr>
    </w:p>
    <w:p w14:paraId="1B99CBD2">
      <w:pPr>
        <w:rPr>
          <w:rFonts w:ascii="Aptos" w:hAnsi="Aptos" w:eastAsia="Aptos" w:cs="Times New Roman"/>
          <w:kern w:val="2"/>
          <w:lang w:val="zh-CN"/>
          <w14:ligatures w14:val="standardContextual"/>
        </w:rPr>
      </w:pPr>
    </w:p>
    <w:p w14:paraId="762D024A">
      <w:pPr>
        <w:rPr>
          <w:rFonts w:ascii="Aptos" w:hAnsi="Aptos" w:eastAsia="Aptos" w:cs="Times New Roman"/>
          <w:kern w:val="2"/>
          <w:lang w:val="zh-CN"/>
          <w14:ligatures w14:val="standardContextual"/>
        </w:rPr>
      </w:pPr>
    </w:p>
    <w:p w14:paraId="37BDCA44">
      <w:pPr>
        <w:rPr>
          <w:rFonts w:ascii="Aptos" w:hAnsi="Aptos" w:eastAsia="Aptos" w:cs="Times New Roman"/>
          <w:kern w:val="2"/>
          <w:lang w:val="zh-CN"/>
          <w14:ligatures w14:val="standardContextual"/>
        </w:rPr>
      </w:pPr>
    </w:p>
    <w:p w14:paraId="07057670">
      <w:pPr>
        <w:rPr>
          <w:rFonts w:ascii="Aptos" w:hAnsi="Aptos" w:eastAsia="Aptos" w:cs="Times New Roman"/>
          <w:kern w:val="2"/>
          <w:lang w:val="zh-CN"/>
          <w14:ligatures w14:val="standardContextual"/>
        </w:rPr>
      </w:pPr>
    </w:p>
    <w:p w14:paraId="779D5118">
      <w:pPr>
        <w:rPr>
          <w:rFonts w:ascii="Aptos" w:hAnsi="Aptos" w:eastAsia="Aptos" w:cs="Times New Roman"/>
          <w:kern w:val="2"/>
          <w:lang w:val="zh-CN"/>
          <w14:ligatures w14:val="standardContextual"/>
        </w:rPr>
      </w:pPr>
    </w:p>
    <w:p w14:paraId="693CFE93">
      <w:pPr>
        <w:spacing w:after="840"/>
        <w:jc w:val="center"/>
        <w:rPr>
          <w:rFonts w:ascii="Times New Roman" w:hAnsi="Times New Roman" w:eastAsia="Aptos" w:cs="Times New Roman"/>
          <w:b/>
          <w:kern w:val="2"/>
          <w:sz w:val="40"/>
          <w:szCs w:val="40"/>
          <w:lang w:val="zh-CN"/>
          <w14:ligatures w14:val="standardContextual"/>
        </w:rPr>
      </w:pPr>
      <w:r>
        <w:rPr>
          <w:rFonts w:ascii="Times New Roman" w:hAnsi="Times New Roman" w:eastAsia="Aptos" w:cs="Times New Roman"/>
          <w:b/>
          <w:kern w:val="2"/>
          <w:sz w:val="40"/>
          <w:szCs w:val="40"/>
          <w:lang w:val="zh-CN"/>
          <w14:ligatures w14:val="standardContextual"/>
        </w:rPr>
        <w:t>MONITORING AND EVALUATION REPORT, 2026</w:t>
      </w:r>
    </w:p>
    <w:p w14:paraId="63FF4D27">
      <w:pPr>
        <w:tabs>
          <w:tab w:val="left" w:pos="1935"/>
        </w:tabs>
        <w:jc w:val="center"/>
        <w:rPr>
          <w:rFonts w:ascii="Times New Roman" w:hAnsi="Times New Roman" w:eastAsia="Aptos" w:cs="Times New Roman"/>
          <w:i/>
          <w:kern w:val="2"/>
          <w:sz w:val="28"/>
          <w:szCs w:val="30"/>
          <w:lang w:val="zh-CN"/>
          <w14:ligatures w14:val="standardContextual"/>
        </w:rPr>
      </w:pPr>
    </w:p>
    <w:p w14:paraId="543FC5C1">
      <w:pPr>
        <w:tabs>
          <w:tab w:val="left" w:pos="1935"/>
        </w:tabs>
        <w:jc w:val="center"/>
        <w:rPr>
          <w:rFonts w:ascii="Times New Roman" w:hAnsi="Times New Roman" w:eastAsia="Aptos" w:cs="Times New Roman"/>
          <w:i/>
          <w:kern w:val="2"/>
          <w:sz w:val="28"/>
          <w:szCs w:val="30"/>
          <w:lang w:val="zh-CN"/>
          <w14:ligatures w14:val="standardContextual"/>
        </w:rPr>
      </w:pPr>
      <w:r>
        <w:rPr>
          <w:rFonts w:ascii="Times New Roman" w:hAnsi="Times New Roman" w:eastAsia="Aptos" w:cs="Times New Roman"/>
          <w:i/>
          <w:kern w:val="2"/>
          <w:sz w:val="28"/>
          <w:szCs w:val="30"/>
          <w:lang w:val="zh-CN"/>
          <w14:ligatures w14:val="standardContextual"/>
        </w:rPr>
        <w:t>Prepared by:</w:t>
      </w:r>
    </w:p>
    <w:p w14:paraId="2D926F3B">
      <w:pPr>
        <w:tabs>
          <w:tab w:val="left" w:pos="1935"/>
        </w:tabs>
        <w:jc w:val="center"/>
        <w:rPr>
          <w:rFonts w:ascii="Times New Roman" w:hAnsi="Times New Roman" w:eastAsia="Aptos" w:cs="Times New Roman"/>
          <w:b/>
          <w:kern w:val="2"/>
          <w:lang w:val="zh-CN"/>
          <w14:ligatures w14:val="standardContextual"/>
        </w:rPr>
      </w:pPr>
      <w:r>
        <w:rPr>
          <w:rFonts w:ascii="Times New Roman" w:hAnsi="Times New Roman" w:eastAsia="Aptos" w:cs="Times New Roman"/>
          <w:b/>
          <w:i/>
          <w:kern w:val="2"/>
          <w:szCs w:val="30"/>
          <w:lang w:val="zh-CN"/>
          <w14:ligatures w14:val="standardContextual"/>
        </w:rPr>
        <w:t>DISTRICT PLANNING AND CO-ORDINATING UNIT (DPCU)</w:t>
      </w:r>
    </w:p>
    <w:p w14:paraId="65C1F669">
      <w:pPr>
        <w:jc w:val="center"/>
        <w:rPr>
          <w:rFonts w:ascii="Times New Roman" w:hAnsi="Times New Roman" w:eastAsia="Aptos" w:cs="Times New Roman"/>
          <w:b/>
          <w:kern w:val="2"/>
          <w:lang w:val="zh-CN"/>
          <w14:ligatures w14:val="standardContextual"/>
        </w:rPr>
      </w:pPr>
    </w:p>
    <w:p w14:paraId="5D16FB06">
      <w:pPr>
        <w:jc w:val="center"/>
        <w:rPr>
          <w:rFonts w:ascii="Times New Roman" w:hAnsi="Times New Roman" w:eastAsia="Aptos" w:cs="Times New Roman"/>
          <w:b/>
          <w:kern w:val="2"/>
          <w:lang w:val="zh-CN"/>
          <w14:ligatures w14:val="standardContextual"/>
        </w:rPr>
      </w:pPr>
    </w:p>
    <w:p w14:paraId="55A91010">
      <w:pPr>
        <w:jc w:val="center"/>
        <w:rPr>
          <w:rFonts w:ascii="Times New Roman" w:hAnsi="Times New Roman" w:eastAsia="Aptos" w:cs="Times New Roman"/>
          <w:b/>
          <w:kern w:val="2"/>
          <w:lang w:val="zh-CN"/>
          <w14:ligatures w14:val="standardContextual"/>
        </w:rPr>
      </w:pPr>
    </w:p>
    <w:p w14:paraId="51DA0B74">
      <w:pPr>
        <w:jc w:val="center"/>
        <w:rPr>
          <w:rFonts w:ascii="Times New Roman" w:hAnsi="Times New Roman" w:eastAsia="Aptos" w:cs="Times New Roman"/>
          <w:b/>
          <w:kern w:val="2"/>
          <w:lang w:val="zh-CN"/>
          <w14:ligatures w14:val="standardContextual"/>
        </w:rPr>
      </w:pPr>
    </w:p>
    <w:p w14:paraId="0E34D601">
      <w:pPr>
        <w:jc w:val="center"/>
        <w:rPr>
          <w:rFonts w:ascii="Times New Roman" w:hAnsi="Times New Roman" w:cs="Times New Roman"/>
        </w:rPr>
      </w:pPr>
      <w:r>
        <w:rPr>
          <w:rFonts w:ascii="Times New Roman" w:hAnsi="Times New Roman" w:eastAsia="Aptos" w:cs="Times New Roman"/>
          <w:b/>
          <w:kern w:val="2"/>
          <w:lang w:val="zh-CN"/>
          <w14:ligatures w14:val="standardContextual"/>
        </w:rPr>
        <w:t>APRIL 2026</w:t>
      </w:r>
    </w:p>
    <w:p w14:paraId="1C02A445">
      <w:pPr>
        <w:rPr>
          <w:rFonts w:ascii="Times New Roman" w:hAnsi="Times New Roman" w:cs="Times New Roman"/>
        </w:rPr>
      </w:pPr>
    </w:p>
    <w:p w14:paraId="2C64B356">
      <w:pPr>
        <w:rPr>
          <w:rFonts w:ascii="Times New Roman" w:hAnsi="Times New Roman" w:cs="Times New Roman"/>
        </w:rPr>
      </w:pPr>
    </w:p>
    <w:p w14:paraId="14866EC9">
      <w:pPr>
        <w:rPr>
          <w:rFonts w:ascii="Times New Roman" w:hAnsi="Times New Roman" w:cs="Times New Roman"/>
        </w:rPr>
        <w:sectPr>
          <w:pgSz w:w="12240" w:h="15840"/>
          <w:pgMar w:top="720" w:right="720" w:bottom="720" w:left="720" w:header="720" w:footer="720" w:gutter="0"/>
          <w:cols w:space="720" w:num="1"/>
          <w:docGrid w:linePitch="360" w:charSpace="0"/>
        </w:sectPr>
      </w:pPr>
    </w:p>
    <w:p w14:paraId="71EBCB7B">
      <w:pPr>
        <w:rPr>
          <w:rFonts w:ascii="Times New Roman" w:hAnsi="Times New Roman" w:cs="Times New Roman"/>
        </w:rPr>
      </w:pPr>
    </w:p>
    <w:sdt>
      <w:sdtPr>
        <w:rPr>
          <w:rFonts w:ascii="Times New Roman" w:hAnsi="Times New Roman" w:eastAsia="SimSun" w:cs="Times New Roman"/>
          <w:color w:val="auto"/>
          <w:sz w:val="22"/>
          <w:szCs w:val="22"/>
        </w:rPr>
        <w:id w:val="647944045"/>
        <w:docPartObj>
          <w:docPartGallery w:val="Table of Contents"/>
          <w:docPartUnique/>
        </w:docPartObj>
      </w:sdtPr>
      <w:sdtEndPr>
        <w:rPr>
          <w:rFonts w:ascii="Times New Roman" w:hAnsi="Times New Roman" w:eastAsia="SimSun" w:cs="Times New Roman"/>
          <w:b/>
          <w:bCs/>
          <w:color w:val="auto"/>
          <w:sz w:val="22"/>
          <w:szCs w:val="22"/>
        </w:rPr>
      </w:sdtEndPr>
      <w:sdtContent>
        <w:p w14:paraId="7DEA12D5">
          <w:pPr>
            <w:pStyle w:val="37"/>
            <w:spacing w:line="276" w:lineRule="auto"/>
            <w:jc w:val="center"/>
            <w:rPr>
              <w:rFonts w:ascii="Times New Roman" w:hAnsi="Times New Roman" w:cs="Times New Roman"/>
              <w:b/>
              <w:bCs/>
              <w:color w:val="auto"/>
              <w:sz w:val="24"/>
              <w:szCs w:val="24"/>
            </w:rPr>
          </w:pPr>
          <w:bookmarkStart w:id="0" w:name="_Toc222333851"/>
          <w:r>
            <w:rPr>
              <w:rFonts w:ascii="Times New Roman" w:hAnsi="Times New Roman" w:eastAsia="SimSun" w:cs="Times New Roman"/>
              <w:b/>
              <w:bCs/>
              <w:color w:val="auto"/>
              <w:sz w:val="24"/>
              <w:szCs w:val="24"/>
            </w:rPr>
            <w:t xml:space="preserve">TABLE OF </w:t>
          </w:r>
          <w:r>
            <w:rPr>
              <w:rFonts w:ascii="Times New Roman" w:hAnsi="Times New Roman" w:cs="Times New Roman"/>
              <w:b/>
              <w:bCs/>
              <w:color w:val="auto"/>
              <w:sz w:val="24"/>
              <w:szCs w:val="24"/>
            </w:rPr>
            <w:t>CONTENTS</w:t>
          </w:r>
        </w:p>
        <w:p w14:paraId="39C0DBF6">
          <w:pPr>
            <w:pStyle w:val="18"/>
            <w:tabs>
              <w:tab w:val="right" w:leader="dot" w:pos="10790"/>
            </w:tabs>
            <w:rPr>
              <w:rFonts w:eastAsiaTheme="minorEastAsia"/>
              <w:lang w:val="zh-CN" w:eastAsia="zh-CN"/>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"_Toc230260711" </w:instrText>
          </w:r>
          <w:r>
            <w:fldChar w:fldCharType="separate"/>
          </w:r>
          <w:r>
            <w:rPr>
              <w:rStyle w:val="12"/>
              <w:color w:val="auto"/>
            </w:rPr>
            <w:t>LIST OF TABLES</w:t>
          </w:r>
          <w:r>
            <w:tab/>
          </w:r>
          <w:r>
            <w:fldChar w:fldCharType="begin"/>
          </w:r>
          <w:r>
            <w:instrText xml:space="preserve"> PAGEREF _Toc230260711 \h </w:instrText>
          </w:r>
          <w:r>
            <w:fldChar w:fldCharType="separate"/>
          </w:r>
          <w:r>
            <w:t>iii</w:t>
          </w:r>
          <w:r>
            <w:fldChar w:fldCharType="end"/>
          </w:r>
          <w:r>
            <w:fldChar w:fldCharType="end"/>
          </w:r>
        </w:p>
        <w:p w14:paraId="36C34C80">
          <w:pPr>
            <w:pStyle w:val="18"/>
            <w:tabs>
              <w:tab w:val="right" w:leader="dot" w:pos="10790"/>
            </w:tabs>
            <w:rPr>
              <w:rFonts w:eastAsiaTheme="minorEastAsia"/>
              <w:lang w:val="zh-CN" w:eastAsia="zh-CN"/>
            </w:rPr>
          </w:pPr>
          <w:r>
            <w:fldChar w:fldCharType="begin"/>
          </w:r>
          <w:r>
            <w:instrText xml:space="preserve"> HYPERLINK \l "_Toc230260712" </w:instrText>
          </w:r>
          <w:r>
            <w:fldChar w:fldCharType="separate"/>
          </w:r>
          <w:r>
            <w:rPr>
              <w:rStyle w:val="12"/>
              <w:color w:val="auto"/>
            </w:rPr>
            <w:t>LIST OF FIGURES</w:t>
          </w:r>
          <w:r>
            <w:tab/>
          </w:r>
          <w:r>
            <w:fldChar w:fldCharType="begin"/>
          </w:r>
          <w:r>
            <w:instrText xml:space="preserve"> PAGEREF _Toc230260712 \h </w:instrText>
          </w:r>
          <w:r>
            <w:fldChar w:fldCharType="separate"/>
          </w:r>
          <w:r>
            <w:t>iv</w:t>
          </w:r>
          <w:r>
            <w:fldChar w:fldCharType="end"/>
          </w:r>
          <w:r>
            <w:fldChar w:fldCharType="end"/>
          </w:r>
        </w:p>
        <w:p w14:paraId="7D5AA60F">
          <w:pPr>
            <w:pStyle w:val="18"/>
            <w:tabs>
              <w:tab w:val="right" w:leader="dot" w:pos="10790"/>
            </w:tabs>
            <w:rPr>
              <w:rFonts w:eastAsiaTheme="minorEastAsia"/>
              <w:lang w:val="zh-CN" w:eastAsia="zh-CN"/>
            </w:rPr>
          </w:pPr>
          <w:r>
            <w:fldChar w:fldCharType="begin"/>
          </w:r>
          <w:r>
            <w:instrText xml:space="preserve"> HYPERLINK \l "_Toc230260713" </w:instrText>
          </w:r>
          <w:r>
            <w:fldChar w:fldCharType="separate"/>
          </w:r>
          <w:r>
            <w:rPr>
              <w:rStyle w:val="12"/>
              <w:color w:val="auto"/>
            </w:rPr>
            <w:t>CHAPTER ONE</w:t>
          </w:r>
          <w:r>
            <w:tab/>
          </w:r>
          <w:r>
            <w:fldChar w:fldCharType="begin"/>
          </w:r>
          <w:r>
            <w:instrText xml:space="preserve"> PAGEREF _Toc230260713 \h </w:instrText>
          </w:r>
          <w:r>
            <w:fldChar w:fldCharType="separate"/>
          </w:r>
          <w:r>
            <w:t>1</w:t>
          </w:r>
          <w:r>
            <w:fldChar w:fldCharType="end"/>
          </w:r>
          <w:r>
            <w:fldChar w:fldCharType="end"/>
          </w:r>
        </w:p>
        <w:p w14:paraId="19A18C4E">
          <w:pPr>
            <w:pStyle w:val="18"/>
            <w:tabs>
              <w:tab w:val="right" w:leader="dot" w:pos="10790"/>
            </w:tabs>
            <w:rPr>
              <w:rFonts w:eastAsiaTheme="minorEastAsia"/>
              <w:lang w:val="zh-CN" w:eastAsia="zh-CN"/>
            </w:rPr>
          </w:pPr>
          <w:r>
            <w:fldChar w:fldCharType="begin"/>
          </w:r>
          <w:r>
            <w:instrText xml:space="preserve"> HYPERLINK \l "_Toc230260714" </w:instrText>
          </w:r>
          <w:r>
            <w:fldChar w:fldCharType="separate"/>
          </w:r>
          <w:r>
            <w:rPr>
              <w:rStyle w:val="12"/>
              <w:color w:val="auto"/>
            </w:rPr>
            <w:t>1.0 INTRODUCTION</w:t>
          </w:r>
          <w:r>
            <w:tab/>
          </w:r>
          <w:r>
            <w:fldChar w:fldCharType="begin"/>
          </w:r>
          <w:r>
            <w:instrText xml:space="preserve"> PAGEREF _Toc230260714 \h </w:instrText>
          </w:r>
          <w:r>
            <w:fldChar w:fldCharType="separate"/>
          </w:r>
          <w:r>
            <w:t>1</w:t>
          </w:r>
          <w:r>
            <w:fldChar w:fldCharType="end"/>
          </w:r>
          <w:r>
            <w:fldChar w:fldCharType="end"/>
          </w:r>
        </w:p>
        <w:p w14:paraId="659053BE">
          <w:pPr>
            <w:pStyle w:val="19"/>
            <w:tabs>
              <w:tab w:val="right" w:leader="dot" w:pos="10790"/>
            </w:tabs>
            <w:rPr>
              <w:rFonts w:eastAsiaTheme="minorEastAsia"/>
              <w:lang w:val="zh-CN" w:eastAsia="zh-CN"/>
            </w:rPr>
          </w:pPr>
          <w:r>
            <w:fldChar w:fldCharType="begin"/>
          </w:r>
          <w:r>
            <w:instrText xml:space="preserve"> HYPERLINK \l "_Toc230260715" </w:instrText>
          </w:r>
          <w:r>
            <w:fldChar w:fldCharType="separate"/>
          </w:r>
          <w:r>
            <w:rPr>
              <w:rStyle w:val="12"/>
              <w:rFonts w:ascii="Times New Roman" w:hAnsi="Times New Roman" w:cs="Times New Roman"/>
              <w:b/>
              <w:color w:val="auto"/>
            </w:rPr>
            <w:t>1.2 Purpose of Monitoring and Evaluation for First Quarter 2026</w:t>
          </w:r>
          <w:r>
            <w:tab/>
          </w:r>
          <w:r>
            <w:fldChar w:fldCharType="begin"/>
          </w:r>
          <w:r>
            <w:instrText xml:space="preserve"> PAGEREF _Toc230260715 \h </w:instrText>
          </w:r>
          <w:r>
            <w:fldChar w:fldCharType="separate"/>
          </w:r>
          <w:r>
            <w:t>2</w:t>
          </w:r>
          <w:r>
            <w:fldChar w:fldCharType="end"/>
          </w:r>
          <w:r>
            <w:fldChar w:fldCharType="end"/>
          </w:r>
        </w:p>
        <w:p w14:paraId="6CE97DD5">
          <w:pPr>
            <w:pStyle w:val="19"/>
            <w:tabs>
              <w:tab w:val="right" w:leader="dot" w:pos="10790"/>
            </w:tabs>
            <w:rPr>
              <w:rFonts w:eastAsiaTheme="minorEastAsia"/>
              <w:lang w:val="zh-CN" w:eastAsia="zh-CN"/>
            </w:rPr>
          </w:pPr>
          <w:r>
            <w:fldChar w:fldCharType="begin"/>
          </w:r>
          <w:r>
            <w:instrText xml:space="preserve"> HYPERLINK \l "_Toc230260716" </w:instrText>
          </w:r>
          <w:r>
            <w:fldChar w:fldCharType="separate"/>
          </w:r>
          <w:r>
            <w:rPr>
              <w:rStyle w:val="12"/>
              <w:rFonts w:ascii="Times New Roman" w:hAnsi="Times New Roman" w:cs="Times New Roman"/>
              <w:b/>
              <w:color w:val="auto"/>
            </w:rPr>
            <w:t>1.3 Processes Involved and Difficulties Encountered</w:t>
          </w:r>
          <w:r>
            <w:tab/>
          </w:r>
          <w:r>
            <w:fldChar w:fldCharType="begin"/>
          </w:r>
          <w:r>
            <w:instrText xml:space="preserve"> PAGEREF _Toc230260716 \h </w:instrText>
          </w:r>
          <w:r>
            <w:fldChar w:fldCharType="separate"/>
          </w:r>
          <w:r>
            <w:t>3</w:t>
          </w:r>
          <w:r>
            <w:fldChar w:fldCharType="end"/>
          </w:r>
          <w:r>
            <w:fldChar w:fldCharType="end"/>
          </w:r>
        </w:p>
        <w:p w14:paraId="548D3E1A">
          <w:pPr>
            <w:pStyle w:val="20"/>
            <w:tabs>
              <w:tab w:val="right" w:leader="dot" w:pos="10790"/>
            </w:tabs>
            <w:rPr>
              <w:rFonts w:eastAsiaTheme="minorEastAsia"/>
              <w:lang w:val="zh-CN" w:eastAsia="zh-CN"/>
            </w:rPr>
          </w:pPr>
          <w:r>
            <w:fldChar w:fldCharType="begin"/>
          </w:r>
          <w:r>
            <w:instrText xml:space="preserve"> HYPERLINK \l "_Toc230260717" </w:instrText>
          </w:r>
          <w:r>
            <w:fldChar w:fldCharType="separate"/>
          </w:r>
          <w:r>
            <w:rPr>
              <w:rStyle w:val="12"/>
              <w:rFonts w:ascii="Times New Roman" w:hAnsi="Times New Roman" w:cs="Times New Roman"/>
              <w:b/>
              <w:bCs/>
              <w:color w:val="auto"/>
            </w:rPr>
            <w:t>1.3.1 Processes Involved</w:t>
          </w:r>
          <w:r>
            <w:tab/>
          </w:r>
          <w:r>
            <w:fldChar w:fldCharType="begin"/>
          </w:r>
          <w:r>
            <w:instrText xml:space="preserve"> PAGEREF _Toc230260717 \h </w:instrText>
          </w:r>
          <w:r>
            <w:fldChar w:fldCharType="separate"/>
          </w:r>
          <w:r>
            <w:t>3</w:t>
          </w:r>
          <w:r>
            <w:fldChar w:fldCharType="end"/>
          </w:r>
          <w:r>
            <w:fldChar w:fldCharType="end"/>
          </w:r>
        </w:p>
        <w:p w14:paraId="499450AC">
          <w:pPr>
            <w:pStyle w:val="20"/>
            <w:tabs>
              <w:tab w:val="right" w:leader="dot" w:pos="10790"/>
            </w:tabs>
            <w:rPr>
              <w:rFonts w:eastAsiaTheme="minorEastAsia"/>
              <w:lang w:val="zh-CN" w:eastAsia="zh-CN"/>
            </w:rPr>
          </w:pPr>
          <w:r>
            <w:fldChar w:fldCharType="begin"/>
          </w:r>
          <w:r>
            <w:instrText xml:space="preserve"> HYPERLINK \l "_Toc230260718" </w:instrText>
          </w:r>
          <w:r>
            <w:fldChar w:fldCharType="separate"/>
          </w:r>
          <w:r>
            <w:rPr>
              <w:rStyle w:val="12"/>
              <w:rFonts w:ascii="Times New Roman" w:hAnsi="Times New Roman" w:cs="Times New Roman"/>
              <w:b/>
              <w:color w:val="auto"/>
            </w:rPr>
            <w:t>1.3.2 Difficulties Encountered</w:t>
          </w:r>
          <w:r>
            <w:tab/>
          </w:r>
          <w:r>
            <w:fldChar w:fldCharType="begin"/>
          </w:r>
          <w:r>
            <w:instrText xml:space="preserve"> PAGEREF _Toc230260718 \h </w:instrText>
          </w:r>
          <w:r>
            <w:fldChar w:fldCharType="separate"/>
          </w:r>
          <w:r>
            <w:t>5</w:t>
          </w:r>
          <w:r>
            <w:fldChar w:fldCharType="end"/>
          </w:r>
          <w:r>
            <w:fldChar w:fldCharType="end"/>
          </w:r>
        </w:p>
        <w:p w14:paraId="59E7BF88">
          <w:pPr>
            <w:pStyle w:val="19"/>
            <w:tabs>
              <w:tab w:val="right" w:leader="dot" w:pos="10790"/>
            </w:tabs>
            <w:rPr>
              <w:rFonts w:eastAsiaTheme="minorEastAsia"/>
              <w:lang w:val="zh-CN" w:eastAsia="zh-CN"/>
            </w:rPr>
          </w:pPr>
          <w:r>
            <w:fldChar w:fldCharType="begin"/>
          </w:r>
          <w:r>
            <w:instrText xml:space="preserve"> HYPERLINK \l "_Toc230260719" </w:instrText>
          </w:r>
          <w:r>
            <w:fldChar w:fldCharType="separate"/>
          </w:r>
          <w:r>
            <w:rPr>
              <w:rStyle w:val="12"/>
              <w:rFonts w:ascii="Times New Roman" w:hAnsi="Times New Roman" w:cs="Times New Roman"/>
              <w:b/>
              <w:color w:val="auto"/>
            </w:rPr>
            <w:t>1.4 Summary of Achievements in the Implementation of Planned Activities</w:t>
          </w:r>
          <w:r>
            <w:tab/>
          </w:r>
          <w:r>
            <w:fldChar w:fldCharType="begin"/>
          </w:r>
          <w:r>
            <w:instrText xml:space="preserve"> PAGEREF _Toc230260719 \h </w:instrText>
          </w:r>
          <w:r>
            <w:fldChar w:fldCharType="separate"/>
          </w:r>
          <w:r>
            <w:t>6</w:t>
          </w:r>
          <w:r>
            <w:fldChar w:fldCharType="end"/>
          </w:r>
          <w:r>
            <w:fldChar w:fldCharType="end"/>
          </w:r>
        </w:p>
        <w:p w14:paraId="2AABB793">
          <w:pPr>
            <w:pStyle w:val="20"/>
            <w:tabs>
              <w:tab w:val="right" w:leader="dot" w:pos="10790"/>
            </w:tabs>
            <w:rPr>
              <w:rFonts w:eastAsiaTheme="minorEastAsia"/>
              <w:lang w:val="zh-CN" w:eastAsia="zh-CN"/>
            </w:rPr>
          </w:pPr>
          <w:r>
            <w:fldChar w:fldCharType="begin"/>
          </w:r>
          <w:r>
            <w:instrText xml:space="preserve"> HYPERLINK \l "_Toc230260720" </w:instrText>
          </w:r>
          <w:r>
            <w:fldChar w:fldCharType="separate"/>
          </w:r>
          <w:r>
            <w:rPr>
              <w:rStyle w:val="12"/>
              <w:rFonts w:ascii="Times New Roman" w:hAnsi="Times New Roman" w:cs="Times New Roman"/>
              <w:b/>
              <w:i/>
              <w:color w:val="auto"/>
            </w:rPr>
            <w:t xml:space="preserve">1.4.1 </w:t>
          </w:r>
          <w:r>
            <w:rPr>
              <w:rStyle w:val="12"/>
              <w:rFonts w:ascii="Times New Roman" w:hAnsi="Times New Roman" w:eastAsia="Times New Roman" w:cs="Times New Roman"/>
              <w:b/>
              <w:i/>
              <w:color w:val="auto"/>
            </w:rPr>
            <w:t>Progress on the Implementation of the 2026 Annual Action Plan</w:t>
          </w:r>
          <w:r>
            <w:tab/>
          </w:r>
          <w:r>
            <w:fldChar w:fldCharType="begin"/>
          </w:r>
          <w:r>
            <w:instrText xml:space="preserve"> PAGEREF _Toc230260720 \h </w:instrText>
          </w:r>
          <w:r>
            <w:fldChar w:fldCharType="separate"/>
          </w:r>
          <w:r>
            <w:t>7</w:t>
          </w:r>
          <w:r>
            <w:fldChar w:fldCharType="end"/>
          </w:r>
          <w:r>
            <w:fldChar w:fldCharType="end"/>
          </w:r>
        </w:p>
        <w:p w14:paraId="18AE3CD9">
          <w:pPr>
            <w:pStyle w:val="20"/>
            <w:tabs>
              <w:tab w:val="right" w:leader="dot" w:pos="10790"/>
            </w:tabs>
            <w:rPr>
              <w:rFonts w:eastAsiaTheme="minorEastAsia"/>
              <w:lang w:val="zh-CN" w:eastAsia="zh-CN"/>
            </w:rPr>
          </w:pPr>
          <w:r>
            <w:fldChar w:fldCharType="begin"/>
          </w:r>
          <w:r>
            <w:instrText xml:space="preserve"> HYPERLINK \l "_Toc230260721" </w:instrText>
          </w:r>
          <w:r>
            <w:fldChar w:fldCharType="separate"/>
          </w:r>
          <w:r>
            <w:rPr>
              <w:rStyle w:val="12"/>
              <w:rFonts w:eastAsia="Times New Roman"/>
              <w:b/>
              <w:bCs/>
              <w:i/>
              <w:iCs/>
              <w:color w:val="auto"/>
            </w:rPr>
            <w:t>1.4.2 Analysis of Quarterly Implementation of Planned Activities (As at First Quarter 2026)</w:t>
          </w:r>
          <w:r>
            <w:tab/>
          </w:r>
          <w:r>
            <w:fldChar w:fldCharType="begin"/>
          </w:r>
          <w:r>
            <w:instrText xml:space="preserve"> PAGEREF _Toc230260721 \h </w:instrText>
          </w:r>
          <w:r>
            <w:fldChar w:fldCharType="separate"/>
          </w:r>
          <w:r>
            <w:t>9</w:t>
          </w:r>
          <w:r>
            <w:fldChar w:fldCharType="end"/>
          </w:r>
          <w:r>
            <w:fldChar w:fldCharType="end"/>
          </w:r>
        </w:p>
        <w:p w14:paraId="6F611E61">
          <w:pPr>
            <w:pStyle w:val="20"/>
            <w:tabs>
              <w:tab w:val="right" w:leader="dot" w:pos="10790"/>
            </w:tabs>
            <w:rPr>
              <w:rFonts w:eastAsiaTheme="minorEastAsia"/>
              <w:lang w:val="zh-CN" w:eastAsia="zh-CN"/>
            </w:rPr>
          </w:pPr>
          <w:r>
            <w:fldChar w:fldCharType="begin"/>
          </w:r>
          <w:r>
            <w:instrText xml:space="preserve"> HYPERLINK \l "_Toc230260722" </w:instrText>
          </w:r>
          <w:r>
            <w:fldChar w:fldCharType="separate"/>
          </w:r>
          <w:r>
            <w:rPr>
              <w:rStyle w:val="12"/>
              <w:rFonts w:eastAsia="Times New Roman"/>
              <w:b/>
              <w:bCs/>
              <w:i/>
              <w:iCs/>
              <w:color w:val="auto"/>
            </w:rPr>
            <w:t>1.4.4 Implementation of the Medium-Term Development Plan (DMTDP)</w:t>
          </w:r>
          <w:r>
            <w:tab/>
          </w:r>
          <w:r>
            <w:fldChar w:fldCharType="begin"/>
          </w:r>
          <w:r>
            <w:instrText xml:space="preserve"> PAGEREF _Toc230260722 \h </w:instrText>
          </w:r>
          <w:r>
            <w:fldChar w:fldCharType="separate"/>
          </w:r>
          <w:r>
            <w:t>10</w:t>
          </w:r>
          <w:r>
            <w:fldChar w:fldCharType="end"/>
          </w:r>
          <w:r>
            <w:fldChar w:fldCharType="end"/>
          </w:r>
        </w:p>
        <w:p w14:paraId="7BD76F5D">
          <w:pPr>
            <w:pStyle w:val="18"/>
            <w:tabs>
              <w:tab w:val="right" w:leader="dot" w:pos="10790"/>
            </w:tabs>
            <w:rPr>
              <w:rFonts w:eastAsiaTheme="minorEastAsia"/>
              <w:lang w:val="zh-CN" w:eastAsia="zh-CN"/>
            </w:rPr>
          </w:pPr>
          <w:r>
            <w:fldChar w:fldCharType="begin"/>
          </w:r>
          <w:r>
            <w:instrText xml:space="preserve"> HYPERLINK \l "_Toc230260723" </w:instrText>
          </w:r>
          <w:r>
            <w:fldChar w:fldCharType="separate"/>
          </w:r>
          <w:r>
            <w:rPr>
              <w:rStyle w:val="12"/>
              <w:rFonts w:ascii="Times New Roman" w:hAnsi="Times New Roman" w:eastAsia="Times New Roman" w:cs="Times New Roman"/>
              <w:b/>
              <w:color w:val="auto"/>
              <w:lang w:val="en-GB"/>
            </w:rPr>
            <w:t>CHAPTER TWO</w:t>
          </w:r>
          <w:r>
            <w:tab/>
          </w:r>
          <w:r>
            <w:fldChar w:fldCharType="begin"/>
          </w:r>
          <w:r>
            <w:instrText xml:space="preserve"> PAGEREF _Toc230260723 \h </w:instrText>
          </w:r>
          <w:r>
            <w:fldChar w:fldCharType="separate"/>
          </w:r>
          <w:r>
            <w:t>12</w:t>
          </w:r>
          <w:r>
            <w:fldChar w:fldCharType="end"/>
          </w:r>
          <w:r>
            <w:fldChar w:fldCharType="end"/>
          </w:r>
        </w:p>
        <w:p w14:paraId="12D83401">
          <w:pPr>
            <w:pStyle w:val="18"/>
            <w:tabs>
              <w:tab w:val="right" w:leader="dot" w:pos="10790"/>
            </w:tabs>
            <w:rPr>
              <w:rFonts w:eastAsiaTheme="minorEastAsia"/>
              <w:lang w:val="zh-CN" w:eastAsia="zh-CN"/>
            </w:rPr>
          </w:pPr>
          <w:r>
            <w:fldChar w:fldCharType="begin"/>
          </w:r>
          <w:r>
            <w:instrText xml:space="preserve"> HYPERLINK \l "_Toc230260724" </w:instrText>
          </w:r>
          <w:r>
            <w:fldChar w:fldCharType="separate"/>
          </w:r>
          <w:r>
            <w:rPr>
              <w:rStyle w:val="12"/>
              <w:rFonts w:ascii="Times New Roman" w:hAnsi="Times New Roman" w:eastAsia="Times New Roman" w:cs="Times New Roman"/>
              <w:b/>
              <w:color w:val="auto"/>
              <w:lang w:val="en-GB"/>
            </w:rPr>
            <w:t>MONITORING AND EVALUATION ACTIVITIES REPORT</w:t>
          </w:r>
          <w:r>
            <w:tab/>
          </w:r>
          <w:r>
            <w:fldChar w:fldCharType="begin"/>
          </w:r>
          <w:r>
            <w:instrText xml:space="preserve"> PAGEREF _Toc230260724 \h </w:instrText>
          </w:r>
          <w:r>
            <w:fldChar w:fldCharType="separate"/>
          </w:r>
          <w:r>
            <w:t>12</w:t>
          </w:r>
          <w:r>
            <w:fldChar w:fldCharType="end"/>
          </w:r>
          <w:r>
            <w:fldChar w:fldCharType="end"/>
          </w:r>
        </w:p>
        <w:p w14:paraId="0B4FCF87">
          <w:pPr>
            <w:pStyle w:val="18"/>
            <w:tabs>
              <w:tab w:val="right" w:leader="dot" w:pos="10790"/>
            </w:tabs>
            <w:rPr>
              <w:rFonts w:eastAsiaTheme="minorEastAsia"/>
              <w:lang w:val="zh-CN" w:eastAsia="zh-CN"/>
            </w:rPr>
          </w:pPr>
          <w:r>
            <w:fldChar w:fldCharType="begin"/>
          </w:r>
          <w:r>
            <w:instrText xml:space="preserve"> HYPERLINK \l "_Toc230260725" </w:instrText>
          </w:r>
          <w:r>
            <w:fldChar w:fldCharType="separate"/>
          </w:r>
          <w:r>
            <w:rPr>
              <w:rStyle w:val="12"/>
              <w:rFonts w:ascii="Times New Roman" w:hAnsi="Times New Roman" w:eastAsia="Times New Roman" w:cs="Times New Roman"/>
              <w:b/>
              <w:color w:val="auto"/>
              <w:lang w:val="en-GB"/>
            </w:rPr>
            <w:t>2.0 Introduction</w:t>
          </w:r>
          <w:r>
            <w:tab/>
          </w:r>
          <w:r>
            <w:fldChar w:fldCharType="begin"/>
          </w:r>
          <w:r>
            <w:instrText xml:space="preserve"> PAGEREF _Toc230260725 \h </w:instrText>
          </w:r>
          <w:r>
            <w:fldChar w:fldCharType="separate"/>
          </w:r>
          <w:r>
            <w:t>12</w:t>
          </w:r>
          <w:r>
            <w:fldChar w:fldCharType="end"/>
          </w:r>
          <w:r>
            <w:fldChar w:fldCharType="end"/>
          </w:r>
        </w:p>
        <w:p w14:paraId="0FD91442">
          <w:pPr>
            <w:pStyle w:val="19"/>
            <w:tabs>
              <w:tab w:val="right" w:leader="dot" w:pos="10790"/>
            </w:tabs>
            <w:rPr>
              <w:rFonts w:eastAsiaTheme="minorEastAsia"/>
              <w:lang w:val="zh-CN" w:eastAsia="zh-CN"/>
            </w:rPr>
          </w:pPr>
          <w:r>
            <w:fldChar w:fldCharType="begin"/>
          </w:r>
          <w:r>
            <w:instrText xml:space="preserve"> HYPERLINK \l "_Toc230260726" </w:instrText>
          </w:r>
          <w:r>
            <w:fldChar w:fldCharType="separate"/>
          </w:r>
          <w:r>
            <w:rPr>
              <w:rStyle w:val="12"/>
              <w:rFonts w:ascii="Times New Roman" w:hAnsi="Times New Roman" w:eastAsia="Times New Roman" w:cs="Times New Roman"/>
              <w:b/>
              <w:color w:val="auto"/>
            </w:rPr>
            <w:t>2.1 Programmes Register for the First Quarter of 2026</w:t>
          </w:r>
          <w:r>
            <w:tab/>
          </w:r>
          <w:r>
            <w:fldChar w:fldCharType="begin"/>
          </w:r>
          <w:r>
            <w:instrText xml:space="preserve"> PAGEREF _Toc230260726 \h </w:instrText>
          </w:r>
          <w:r>
            <w:fldChar w:fldCharType="separate"/>
          </w:r>
          <w:r>
            <w:t>12</w:t>
          </w:r>
          <w:r>
            <w:fldChar w:fldCharType="end"/>
          </w:r>
          <w:r>
            <w:fldChar w:fldCharType="end"/>
          </w:r>
        </w:p>
        <w:p w14:paraId="15EAF3E2">
          <w:pPr>
            <w:pStyle w:val="20"/>
            <w:tabs>
              <w:tab w:val="right" w:leader="dot" w:pos="10790"/>
            </w:tabs>
            <w:rPr>
              <w:rFonts w:eastAsiaTheme="minorEastAsia"/>
              <w:lang w:val="zh-CN" w:eastAsia="zh-CN"/>
            </w:rPr>
          </w:pPr>
          <w:r>
            <w:fldChar w:fldCharType="begin"/>
          </w:r>
          <w:r>
            <w:instrText xml:space="preserve"> HYPERLINK \l "_Toc230260727" </w:instrText>
          </w:r>
          <w:r>
            <w:fldChar w:fldCharType="separate"/>
          </w:r>
          <w:r>
            <w:rPr>
              <w:rStyle w:val="12"/>
              <w:rFonts w:ascii="Times New Roman" w:hAnsi="Times New Roman" w:cs="Times New Roman"/>
              <w:b/>
              <w:bCs/>
              <w:i/>
              <w:iCs/>
              <w:color w:val="auto"/>
            </w:rPr>
            <w:t>2.1.1 Update on Programmes Register (Non-Physical Programmes) for First Quarter 2026</w:t>
          </w:r>
          <w:r>
            <w:tab/>
          </w:r>
          <w:r>
            <w:fldChar w:fldCharType="begin"/>
          </w:r>
          <w:r>
            <w:instrText xml:space="preserve"> PAGEREF _Toc230260727 \h </w:instrText>
          </w:r>
          <w:r>
            <w:fldChar w:fldCharType="separate"/>
          </w:r>
          <w:r>
            <w:t>38</w:t>
          </w:r>
          <w:r>
            <w:fldChar w:fldCharType="end"/>
          </w:r>
          <w:r>
            <w:fldChar w:fldCharType="end"/>
          </w:r>
        </w:p>
        <w:p w14:paraId="719AD8A6">
          <w:pPr>
            <w:pStyle w:val="20"/>
            <w:tabs>
              <w:tab w:val="right" w:leader="dot" w:pos="10790"/>
            </w:tabs>
            <w:rPr>
              <w:rFonts w:eastAsiaTheme="minorEastAsia"/>
              <w:lang w:val="zh-CN" w:eastAsia="zh-CN"/>
            </w:rPr>
          </w:pPr>
          <w:r>
            <w:fldChar w:fldCharType="begin"/>
          </w:r>
          <w:r>
            <w:instrText xml:space="preserve"> HYPERLINK \l "_Toc230260728" </w:instrText>
          </w:r>
          <w:r>
            <w:fldChar w:fldCharType="separate"/>
          </w:r>
          <w:r>
            <w:rPr>
              <w:rStyle w:val="12"/>
              <w:rFonts w:ascii="Times New Roman" w:hAnsi="Times New Roman" w:eastAsia="Calibri" w:cs="Times New Roman"/>
              <w:b/>
              <w:bCs/>
              <w:i/>
              <w:iCs/>
              <w:color w:val="auto"/>
            </w:rPr>
            <w:t>2.1.2 Collaborations with NGOs, CBOs and Development Partners</w:t>
          </w:r>
          <w:r>
            <w:tab/>
          </w:r>
          <w:r>
            <w:fldChar w:fldCharType="begin"/>
          </w:r>
          <w:r>
            <w:instrText xml:space="preserve"> PAGEREF _Toc230260728 \h </w:instrText>
          </w:r>
          <w:r>
            <w:fldChar w:fldCharType="separate"/>
          </w:r>
          <w:r>
            <w:t>50</w:t>
          </w:r>
          <w:r>
            <w:fldChar w:fldCharType="end"/>
          </w:r>
          <w:r>
            <w:fldChar w:fldCharType="end"/>
          </w:r>
        </w:p>
        <w:p w14:paraId="5C76574F">
          <w:pPr>
            <w:pStyle w:val="19"/>
            <w:tabs>
              <w:tab w:val="right" w:leader="dot" w:pos="10790"/>
            </w:tabs>
            <w:rPr>
              <w:rFonts w:eastAsiaTheme="minorEastAsia"/>
              <w:lang w:val="zh-CN" w:eastAsia="zh-CN"/>
            </w:rPr>
          </w:pPr>
          <w:r>
            <w:fldChar w:fldCharType="begin"/>
          </w:r>
          <w:r>
            <w:instrText xml:space="preserve"> HYPERLINK \l "_Toc230260729" </w:instrText>
          </w:r>
          <w:r>
            <w:fldChar w:fldCharType="separate"/>
          </w:r>
          <w:r>
            <w:rPr>
              <w:rStyle w:val="12"/>
              <w:rFonts w:ascii="Times New Roman" w:hAnsi="Times New Roman" w:eastAsia="Times New Roman" w:cs="Times New Roman"/>
              <w:b/>
              <w:color w:val="auto"/>
            </w:rPr>
            <w:t>2.2 Update on Project Register for First Quarter 2026</w:t>
          </w:r>
          <w:r>
            <w:tab/>
          </w:r>
          <w:r>
            <w:fldChar w:fldCharType="begin"/>
          </w:r>
          <w:r>
            <w:instrText xml:space="preserve"> PAGEREF _Toc230260729 \h </w:instrText>
          </w:r>
          <w:r>
            <w:fldChar w:fldCharType="separate"/>
          </w:r>
          <w:r>
            <w:t>51</w:t>
          </w:r>
          <w:r>
            <w:fldChar w:fldCharType="end"/>
          </w:r>
          <w:r>
            <w:fldChar w:fldCharType="end"/>
          </w:r>
        </w:p>
        <w:p w14:paraId="4300470B">
          <w:pPr>
            <w:pStyle w:val="20"/>
            <w:tabs>
              <w:tab w:val="right" w:leader="dot" w:pos="10790"/>
            </w:tabs>
            <w:rPr>
              <w:rFonts w:eastAsiaTheme="minorEastAsia"/>
              <w:lang w:val="zh-CN" w:eastAsia="zh-CN"/>
            </w:rPr>
          </w:pPr>
          <w:r>
            <w:fldChar w:fldCharType="begin"/>
          </w:r>
          <w:r>
            <w:instrText xml:space="preserve"> HYPERLINK \l "_Toc230260730" </w:instrText>
          </w:r>
          <w:r>
            <w:fldChar w:fldCharType="separate"/>
          </w:r>
          <w:r>
            <w:rPr>
              <w:rStyle w:val="12"/>
              <w:rFonts w:ascii="Times New Roman" w:hAnsi="Times New Roman" w:cs="Times New Roman"/>
              <w:b/>
              <w:i/>
              <w:color w:val="auto"/>
            </w:rPr>
            <w:t xml:space="preserve">2.2.1 </w:t>
          </w:r>
          <w:r>
            <w:rPr>
              <w:rStyle w:val="12"/>
              <w:rFonts w:ascii="Times New Roman" w:hAnsi="Times New Roman" w:eastAsia="Times New Roman" w:cs="Times New Roman"/>
              <w:b/>
              <w:bCs/>
              <w:i/>
              <w:color w:val="auto"/>
            </w:rPr>
            <w:t>Analysis of Physical Projects under Implementation as at First Quarter 2026</w:t>
          </w:r>
          <w:r>
            <w:tab/>
          </w:r>
          <w:r>
            <w:fldChar w:fldCharType="begin"/>
          </w:r>
          <w:r>
            <w:instrText xml:space="preserve"> PAGEREF _Toc230260730 \h </w:instrText>
          </w:r>
          <w:r>
            <w:fldChar w:fldCharType="separate"/>
          </w:r>
          <w:r>
            <w:t>57</w:t>
          </w:r>
          <w:r>
            <w:fldChar w:fldCharType="end"/>
          </w:r>
          <w:r>
            <w:fldChar w:fldCharType="end"/>
          </w:r>
        </w:p>
        <w:p w14:paraId="7CB24690">
          <w:pPr>
            <w:pStyle w:val="19"/>
            <w:tabs>
              <w:tab w:val="right" w:leader="dot" w:pos="10790"/>
            </w:tabs>
            <w:rPr>
              <w:rFonts w:eastAsiaTheme="minorEastAsia"/>
              <w:lang w:val="zh-CN" w:eastAsia="zh-CN"/>
            </w:rPr>
          </w:pPr>
          <w:r>
            <w:fldChar w:fldCharType="begin"/>
          </w:r>
          <w:r>
            <w:instrText xml:space="preserve"> HYPERLINK \l "_Toc230260731" </w:instrText>
          </w:r>
          <w:r>
            <w:fldChar w:fldCharType="separate"/>
          </w:r>
          <w:r>
            <w:rPr>
              <w:rStyle w:val="12"/>
              <w:rFonts w:ascii="Times New Roman" w:hAnsi="Times New Roman" w:eastAsia="Times New Roman" w:cs="Times New Roman"/>
              <w:b/>
              <w:bCs/>
              <w:color w:val="auto"/>
            </w:rPr>
            <w:t>2.3 Update on Disbursements from Funding Sources for First Quarter 2026</w:t>
          </w:r>
          <w:r>
            <w:tab/>
          </w:r>
          <w:r>
            <w:fldChar w:fldCharType="begin"/>
          </w:r>
          <w:r>
            <w:instrText xml:space="preserve"> PAGEREF _Toc230260731 \h </w:instrText>
          </w:r>
          <w:r>
            <w:fldChar w:fldCharType="separate"/>
          </w:r>
          <w:r>
            <w:t>59</w:t>
          </w:r>
          <w:r>
            <w:fldChar w:fldCharType="end"/>
          </w:r>
          <w:r>
            <w:fldChar w:fldCharType="end"/>
          </w:r>
        </w:p>
        <w:p w14:paraId="5E49ECC9">
          <w:pPr>
            <w:pStyle w:val="20"/>
            <w:tabs>
              <w:tab w:val="right" w:leader="dot" w:pos="10790"/>
            </w:tabs>
            <w:rPr>
              <w:rFonts w:eastAsiaTheme="minorEastAsia"/>
              <w:lang w:val="zh-CN" w:eastAsia="zh-CN"/>
            </w:rPr>
          </w:pPr>
          <w:r>
            <w:fldChar w:fldCharType="begin"/>
          </w:r>
          <w:r>
            <w:instrText xml:space="preserve"> HYPERLINK \l "_Toc230260732" </w:instrText>
          </w:r>
          <w:r>
            <w:fldChar w:fldCharType="separate"/>
          </w:r>
          <w:r>
            <w:rPr>
              <w:rStyle w:val="12"/>
              <w:rFonts w:ascii="Times New Roman" w:hAnsi="Times New Roman" w:eastAsia="Times New Roman" w:cs="Times New Roman"/>
              <w:b/>
              <w:i/>
              <w:color w:val="auto"/>
            </w:rPr>
            <w:t>2.3.1 Analysis of the Assembly’s Revenue Inflows as of the First Quarter of 2026</w:t>
          </w:r>
          <w:r>
            <w:tab/>
          </w:r>
          <w:r>
            <w:fldChar w:fldCharType="begin"/>
          </w:r>
          <w:r>
            <w:instrText xml:space="preserve"> PAGEREF _Toc230260732 \h </w:instrText>
          </w:r>
          <w:r>
            <w:fldChar w:fldCharType="separate"/>
          </w:r>
          <w:r>
            <w:t>61</w:t>
          </w:r>
          <w:r>
            <w:fldChar w:fldCharType="end"/>
          </w:r>
          <w:r>
            <w:fldChar w:fldCharType="end"/>
          </w:r>
        </w:p>
        <w:p w14:paraId="550DB934">
          <w:pPr>
            <w:pStyle w:val="19"/>
            <w:tabs>
              <w:tab w:val="right" w:leader="dot" w:pos="10790"/>
            </w:tabs>
            <w:rPr>
              <w:rFonts w:eastAsiaTheme="minorEastAsia"/>
              <w:lang w:val="zh-CN" w:eastAsia="zh-CN"/>
            </w:rPr>
          </w:pPr>
          <w:r>
            <w:fldChar w:fldCharType="begin"/>
          </w:r>
          <w:r>
            <w:instrText xml:space="preserve"> HYPERLINK \l "_Toc230260733" </w:instrText>
          </w:r>
          <w:r>
            <w:fldChar w:fldCharType="separate"/>
          </w:r>
          <w:r>
            <w:rPr>
              <w:rStyle w:val="12"/>
              <w:rFonts w:ascii="Times New Roman" w:hAnsi="Times New Roman" w:cs="Times New Roman"/>
              <w:b/>
              <w:bCs/>
              <w:color w:val="auto"/>
            </w:rPr>
            <w:t>2.4 Update on Expenditure for First Quarter 2026</w:t>
          </w:r>
          <w:r>
            <w:tab/>
          </w:r>
          <w:r>
            <w:fldChar w:fldCharType="begin"/>
          </w:r>
          <w:r>
            <w:instrText xml:space="preserve"> PAGEREF _Toc230260733 \h </w:instrText>
          </w:r>
          <w:r>
            <w:fldChar w:fldCharType="separate"/>
          </w:r>
          <w:r>
            <w:t>63</w:t>
          </w:r>
          <w:r>
            <w:fldChar w:fldCharType="end"/>
          </w:r>
          <w:r>
            <w:fldChar w:fldCharType="end"/>
          </w:r>
        </w:p>
        <w:p w14:paraId="0A86E619">
          <w:pPr>
            <w:pStyle w:val="20"/>
            <w:tabs>
              <w:tab w:val="right" w:leader="dot" w:pos="10790"/>
            </w:tabs>
            <w:rPr>
              <w:rFonts w:eastAsiaTheme="minorEastAsia"/>
              <w:lang w:val="zh-CN" w:eastAsia="zh-CN"/>
            </w:rPr>
          </w:pPr>
          <w:r>
            <w:fldChar w:fldCharType="begin"/>
          </w:r>
          <w:r>
            <w:instrText xml:space="preserve"> HYPERLINK \l "_Toc230260734" </w:instrText>
          </w:r>
          <w:r>
            <w:fldChar w:fldCharType="separate"/>
          </w:r>
          <w:r>
            <w:rPr>
              <w:rStyle w:val="12"/>
              <w:rFonts w:ascii="Times New Roman" w:hAnsi="Times New Roman" w:eastAsia="Calibri" w:cs="Times New Roman"/>
              <w:b/>
              <w:i/>
              <w:color w:val="auto"/>
            </w:rPr>
            <w:t>2.4.1 Analysis of Expenditure Performance – First Quarter 2026</w:t>
          </w:r>
          <w:r>
            <w:tab/>
          </w:r>
          <w:r>
            <w:fldChar w:fldCharType="begin"/>
          </w:r>
          <w:r>
            <w:instrText xml:space="preserve"> PAGEREF _Toc230260734 \h </w:instrText>
          </w:r>
          <w:r>
            <w:fldChar w:fldCharType="separate"/>
          </w:r>
          <w:r>
            <w:t>64</w:t>
          </w:r>
          <w:r>
            <w:fldChar w:fldCharType="end"/>
          </w:r>
          <w:r>
            <w:fldChar w:fldCharType="end"/>
          </w:r>
        </w:p>
        <w:p w14:paraId="7435F744">
          <w:pPr>
            <w:pStyle w:val="19"/>
            <w:tabs>
              <w:tab w:val="right" w:leader="dot" w:pos="10790"/>
            </w:tabs>
            <w:rPr>
              <w:rFonts w:eastAsiaTheme="minorEastAsia"/>
              <w:lang w:val="zh-CN" w:eastAsia="zh-CN"/>
            </w:rPr>
          </w:pPr>
          <w:r>
            <w:fldChar w:fldCharType="begin"/>
          </w:r>
          <w:r>
            <w:instrText xml:space="preserve"> HYPERLINK \l "_Toc230260735" </w:instrText>
          </w:r>
          <w:r>
            <w:fldChar w:fldCharType="separate"/>
          </w:r>
          <w:r>
            <w:rPr>
              <w:rStyle w:val="12"/>
              <w:rFonts w:ascii="Times New Roman" w:hAnsi="Times New Roman" w:cs="Times New Roman"/>
              <w:b/>
              <w:color w:val="auto"/>
            </w:rPr>
            <w:t>2.5. Update on National Core Indicators and Targets</w:t>
          </w:r>
          <w:r>
            <w:tab/>
          </w:r>
          <w:r>
            <w:fldChar w:fldCharType="begin"/>
          </w:r>
          <w:r>
            <w:instrText xml:space="preserve"> PAGEREF _Toc230260735 \h </w:instrText>
          </w:r>
          <w:r>
            <w:fldChar w:fldCharType="separate"/>
          </w:r>
          <w:r>
            <w:t>65</w:t>
          </w:r>
          <w:r>
            <w:fldChar w:fldCharType="end"/>
          </w:r>
          <w:r>
            <w:fldChar w:fldCharType="end"/>
          </w:r>
        </w:p>
        <w:p w14:paraId="555BCFA8">
          <w:pPr>
            <w:pStyle w:val="20"/>
            <w:tabs>
              <w:tab w:val="right" w:leader="dot" w:pos="10790"/>
            </w:tabs>
            <w:rPr>
              <w:rFonts w:eastAsiaTheme="minorEastAsia"/>
              <w:lang w:val="zh-CN" w:eastAsia="zh-CN"/>
            </w:rPr>
          </w:pPr>
          <w:r>
            <w:fldChar w:fldCharType="begin"/>
          </w:r>
          <w:r>
            <w:instrText xml:space="preserve"> HYPERLINK \l "_Toc230260736" </w:instrText>
          </w:r>
          <w:r>
            <w:fldChar w:fldCharType="separate"/>
          </w:r>
          <w:r>
            <w:rPr>
              <w:rStyle w:val="12"/>
              <w:rFonts w:ascii="Times New Roman" w:hAnsi="Times New Roman" w:eastAsia="Times New Roman" w:cs="Times New Roman"/>
              <w:b/>
              <w:i/>
              <w:color w:val="auto"/>
            </w:rPr>
            <w:t xml:space="preserve">2.5.1 Analysis of </w:t>
          </w:r>
          <w:r>
            <w:rPr>
              <w:rStyle w:val="12"/>
              <w:rFonts w:ascii="Times New Roman" w:hAnsi="Times New Roman" w:eastAsia="Times New Roman" w:cs="Times New Roman"/>
              <w:b/>
              <w:i/>
              <w:iCs/>
              <w:color w:val="auto"/>
            </w:rPr>
            <w:t>District Performance Indicators and Targets as at First Quarter 2025</w:t>
          </w:r>
          <w:r>
            <w:tab/>
          </w:r>
          <w:r>
            <w:fldChar w:fldCharType="begin"/>
          </w:r>
          <w:r>
            <w:instrText xml:space="preserve"> PAGEREF _Toc230260736 \h </w:instrText>
          </w:r>
          <w:r>
            <w:fldChar w:fldCharType="separate"/>
          </w:r>
          <w:r>
            <w:t>73</w:t>
          </w:r>
          <w:r>
            <w:fldChar w:fldCharType="end"/>
          </w:r>
          <w:r>
            <w:fldChar w:fldCharType="end"/>
          </w:r>
        </w:p>
        <w:p w14:paraId="3E3A45DC">
          <w:pPr>
            <w:pStyle w:val="20"/>
            <w:tabs>
              <w:tab w:val="right" w:leader="dot" w:pos="10790"/>
            </w:tabs>
            <w:rPr>
              <w:rFonts w:eastAsiaTheme="minorEastAsia"/>
              <w:lang w:val="zh-CN" w:eastAsia="zh-CN"/>
            </w:rPr>
          </w:pPr>
          <w:r>
            <w:fldChar w:fldCharType="begin"/>
          </w:r>
          <w:r>
            <w:instrText xml:space="preserve"> HYPERLINK \l "_Toc230260737" </w:instrText>
          </w:r>
          <w:r>
            <w:fldChar w:fldCharType="separate"/>
          </w:r>
          <w:r>
            <w:rPr>
              <w:rStyle w:val="12"/>
              <w:rFonts w:ascii="Times New Roman" w:hAnsi="Times New Roman" w:cs="Times New Roman"/>
              <w:b/>
              <w:bCs/>
              <w:i/>
              <w:iCs/>
              <w:color w:val="auto"/>
            </w:rPr>
            <w:t>2.6.1 Update on Critical Development and Poverty Issues for First Quarter 2026</w:t>
          </w:r>
          <w:r>
            <w:tab/>
          </w:r>
          <w:r>
            <w:fldChar w:fldCharType="begin"/>
          </w:r>
          <w:r>
            <w:instrText xml:space="preserve"> PAGEREF _Toc230260737 \h </w:instrText>
          </w:r>
          <w:r>
            <w:fldChar w:fldCharType="separate"/>
          </w:r>
          <w:r>
            <w:t>78</w:t>
          </w:r>
          <w:r>
            <w:fldChar w:fldCharType="end"/>
          </w:r>
          <w:r>
            <w:fldChar w:fldCharType="end"/>
          </w:r>
        </w:p>
        <w:p w14:paraId="5C96DCFD">
          <w:pPr>
            <w:pStyle w:val="20"/>
            <w:tabs>
              <w:tab w:val="right" w:leader="dot" w:pos="10790"/>
            </w:tabs>
            <w:rPr>
              <w:rFonts w:eastAsiaTheme="minorEastAsia"/>
              <w:lang w:val="zh-CN" w:eastAsia="zh-CN"/>
            </w:rPr>
          </w:pPr>
          <w:r>
            <w:fldChar w:fldCharType="begin"/>
          </w:r>
          <w:r>
            <w:instrText xml:space="preserve"> HYPERLINK \l "_Toc230260738" </w:instrText>
          </w:r>
          <w:r>
            <w:fldChar w:fldCharType="separate"/>
          </w:r>
          <w:r>
            <w:rPr>
              <w:rStyle w:val="12"/>
              <w:rFonts w:ascii="Times New Roman" w:hAnsi="Times New Roman" w:cs="Times New Roman"/>
              <w:b/>
              <w:bCs/>
              <w:i/>
              <w:iCs/>
              <w:color w:val="auto"/>
            </w:rPr>
            <w:t>2.6.2 Government Flagship Programmes Implemented in the First Quarter of 2026</w:t>
          </w:r>
          <w:r>
            <w:tab/>
          </w:r>
          <w:r>
            <w:fldChar w:fldCharType="begin"/>
          </w:r>
          <w:r>
            <w:instrText xml:space="preserve"> PAGEREF _Toc230260738 \h </w:instrText>
          </w:r>
          <w:r>
            <w:fldChar w:fldCharType="separate"/>
          </w:r>
          <w:r>
            <w:t>80</w:t>
          </w:r>
          <w:r>
            <w:fldChar w:fldCharType="end"/>
          </w:r>
          <w:r>
            <w:fldChar w:fldCharType="end"/>
          </w:r>
        </w:p>
        <w:p w14:paraId="22A8CE79">
          <w:pPr>
            <w:pStyle w:val="19"/>
            <w:tabs>
              <w:tab w:val="right" w:leader="dot" w:pos="10790"/>
            </w:tabs>
            <w:rPr>
              <w:rFonts w:eastAsiaTheme="minorEastAsia"/>
              <w:lang w:val="zh-CN" w:eastAsia="zh-CN"/>
            </w:rPr>
          </w:pPr>
          <w:r>
            <w:fldChar w:fldCharType="begin"/>
          </w:r>
          <w:r>
            <w:instrText xml:space="preserve"> HYPERLINK \l "_Toc230260739" </w:instrText>
          </w:r>
          <w:r>
            <w:fldChar w:fldCharType="separate"/>
          </w:r>
          <w:r>
            <w:rPr>
              <w:rStyle w:val="12"/>
              <w:rFonts w:ascii="Times New Roman" w:hAnsi="Times New Roman" w:cs="Times New Roman"/>
              <w:b/>
              <w:bCs/>
              <w:color w:val="auto"/>
            </w:rPr>
            <w:t>2.7 Update on District Specific Indicators for First Quarter 2026</w:t>
          </w:r>
          <w:r>
            <w:tab/>
          </w:r>
          <w:r>
            <w:fldChar w:fldCharType="begin"/>
          </w:r>
          <w:r>
            <w:instrText xml:space="preserve"> PAGEREF _Toc230260739 \h </w:instrText>
          </w:r>
          <w:r>
            <w:fldChar w:fldCharType="separate"/>
          </w:r>
          <w:r>
            <w:t>82</w:t>
          </w:r>
          <w:r>
            <w:fldChar w:fldCharType="end"/>
          </w:r>
          <w:r>
            <w:fldChar w:fldCharType="end"/>
          </w:r>
        </w:p>
        <w:p w14:paraId="4105B566">
          <w:pPr>
            <w:pStyle w:val="20"/>
            <w:tabs>
              <w:tab w:val="right" w:leader="dot" w:pos="10790"/>
            </w:tabs>
            <w:rPr>
              <w:rFonts w:eastAsiaTheme="minorEastAsia"/>
              <w:lang w:val="zh-CN" w:eastAsia="zh-CN"/>
            </w:rPr>
          </w:pPr>
          <w:r>
            <w:fldChar w:fldCharType="begin"/>
          </w:r>
          <w:r>
            <w:instrText xml:space="preserve"> HYPERLINK \l "_Toc230260740" </w:instrText>
          </w:r>
          <w:r>
            <w:fldChar w:fldCharType="separate"/>
          </w:r>
          <w:r>
            <w:rPr>
              <w:rStyle w:val="12"/>
              <w:rFonts w:ascii="Times New Roman" w:hAnsi="Times New Roman" w:cs="Times New Roman"/>
              <w:b/>
              <w:bCs/>
              <w:i/>
              <w:color w:val="auto"/>
            </w:rPr>
            <w:t>2.7.1Analysis on District Specific Indicators and Targets for First Quarter 2026</w:t>
          </w:r>
          <w:r>
            <w:tab/>
          </w:r>
          <w:r>
            <w:fldChar w:fldCharType="begin"/>
          </w:r>
          <w:r>
            <w:instrText xml:space="preserve"> PAGEREF _Toc230260740 \h </w:instrText>
          </w:r>
          <w:r>
            <w:fldChar w:fldCharType="separate"/>
          </w:r>
          <w:r>
            <w:t>86</w:t>
          </w:r>
          <w:r>
            <w:fldChar w:fldCharType="end"/>
          </w:r>
          <w:r>
            <w:fldChar w:fldCharType="end"/>
          </w:r>
        </w:p>
        <w:p w14:paraId="130CE1CC">
          <w:pPr>
            <w:pStyle w:val="19"/>
            <w:tabs>
              <w:tab w:val="right" w:leader="dot" w:pos="10790"/>
            </w:tabs>
            <w:rPr>
              <w:rFonts w:eastAsiaTheme="minorEastAsia"/>
              <w:lang w:val="zh-CN" w:eastAsia="zh-CN"/>
            </w:rPr>
          </w:pPr>
          <w:r>
            <w:fldChar w:fldCharType="begin"/>
          </w:r>
          <w:r>
            <w:instrText xml:space="preserve"> HYPERLINK \l "_Toc230260741" </w:instrText>
          </w:r>
          <w:r>
            <w:fldChar w:fldCharType="separate"/>
          </w:r>
          <w:r>
            <w:rPr>
              <w:rStyle w:val="12"/>
              <w:rFonts w:ascii="Times New Roman" w:hAnsi="Times New Roman" w:eastAsia="Times New Roman" w:cs="Times New Roman"/>
              <w:b/>
              <w:color w:val="auto"/>
            </w:rPr>
            <w:t>2.9 Participatory Monitoring and Evaluation Undertaken</w:t>
          </w:r>
          <w:r>
            <w:tab/>
          </w:r>
          <w:r>
            <w:fldChar w:fldCharType="begin"/>
          </w:r>
          <w:r>
            <w:instrText xml:space="preserve"> PAGEREF _Toc230260741 \h </w:instrText>
          </w:r>
          <w:r>
            <w:fldChar w:fldCharType="separate"/>
          </w:r>
          <w:r>
            <w:t>88</w:t>
          </w:r>
          <w:r>
            <w:fldChar w:fldCharType="end"/>
          </w:r>
          <w:r>
            <w:fldChar w:fldCharType="end"/>
          </w:r>
        </w:p>
        <w:p w14:paraId="703F1D7B">
          <w:pPr>
            <w:pStyle w:val="18"/>
            <w:tabs>
              <w:tab w:val="right" w:leader="dot" w:pos="10790"/>
            </w:tabs>
            <w:rPr>
              <w:rFonts w:eastAsiaTheme="minorEastAsia"/>
              <w:lang w:val="zh-CN" w:eastAsia="zh-CN"/>
            </w:rPr>
          </w:pPr>
          <w:r>
            <w:fldChar w:fldCharType="begin"/>
          </w:r>
          <w:r>
            <w:instrText xml:space="preserve"> HYPERLINK \l "_Toc230260742" </w:instrText>
          </w:r>
          <w:r>
            <w:fldChar w:fldCharType="separate"/>
          </w:r>
          <w:r>
            <w:rPr>
              <w:rStyle w:val="12"/>
              <w:color w:val="auto"/>
            </w:rPr>
            <w:t>CHAPTER THREE</w:t>
          </w:r>
          <w:r>
            <w:tab/>
          </w:r>
          <w:r>
            <w:fldChar w:fldCharType="begin"/>
          </w:r>
          <w:r>
            <w:instrText xml:space="preserve"> PAGEREF _Toc230260742 \h </w:instrText>
          </w:r>
          <w:r>
            <w:fldChar w:fldCharType="separate"/>
          </w:r>
          <w:r>
            <w:t>90</w:t>
          </w:r>
          <w:r>
            <w:fldChar w:fldCharType="end"/>
          </w:r>
          <w:r>
            <w:fldChar w:fldCharType="end"/>
          </w:r>
        </w:p>
        <w:p w14:paraId="405AF7BD">
          <w:pPr>
            <w:pStyle w:val="18"/>
            <w:tabs>
              <w:tab w:val="right" w:leader="dot" w:pos="10790"/>
            </w:tabs>
            <w:rPr>
              <w:rFonts w:eastAsiaTheme="minorEastAsia"/>
              <w:lang w:val="zh-CN" w:eastAsia="zh-CN"/>
            </w:rPr>
          </w:pPr>
          <w:r>
            <w:fldChar w:fldCharType="begin"/>
          </w:r>
          <w:r>
            <w:instrText xml:space="preserve"> HYPERLINK \l "_Toc230260743" </w:instrText>
          </w:r>
          <w:r>
            <w:fldChar w:fldCharType="separate"/>
          </w:r>
          <w:r>
            <w:rPr>
              <w:rStyle w:val="12"/>
              <w:color w:val="auto"/>
            </w:rPr>
            <w:t>THE WAY FORWARD</w:t>
          </w:r>
          <w:r>
            <w:tab/>
          </w:r>
          <w:r>
            <w:fldChar w:fldCharType="begin"/>
          </w:r>
          <w:r>
            <w:instrText xml:space="preserve"> PAGEREF _Toc230260743 \h </w:instrText>
          </w:r>
          <w:r>
            <w:fldChar w:fldCharType="separate"/>
          </w:r>
          <w:r>
            <w:t>90</w:t>
          </w:r>
          <w:r>
            <w:fldChar w:fldCharType="end"/>
          </w:r>
          <w:r>
            <w:fldChar w:fldCharType="end"/>
          </w:r>
        </w:p>
        <w:p w14:paraId="7CDED178">
          <w:pPr>
            <w:pStyle w:val="18"/>
            <w:tabs>
              <w:tab w:val="right" w:leader="dot" w:pos="10790"/>
            </w:tabs>
            <w:rPr>
              <w:rFonts w:eastAsiaTheme="minorEastAsia"/>
              <w:lang w:val="zh-CN" w:eastAsia="zh-CN"/>
            </w:rPr>
          </w:pPr>
          <w:r>
            <w:fldChar w:fldCharType="begin"/>
          </w:r>
          <w:r>
            <w:instrText xml:space="preserve"> HYPERLINK \l "_Toc230260744" </w:instrText>
          </w:r>
          <w:r>
            <w:fldChar w:fldCharType="separate"/>
          </w:r>
          <w:r>
            <w:rPr>
              <w:rStyle w:val="12"/>
              <w:color w:val="auto"/>
            </w:rPr>
            <w:t>3.0 Introduction</w:t>
          </w:r>
          <w:r>
            <w:tab/>
          </w:r>
          <w:r>
            <w:fldChar w:fldCharType="begin"/>
          </w:r>
          <w:r>
            <w:instrText xml:space="preserve"> PAGEREF _Toc230260744 \h </w:instrText>
          </w:r>
          <w:r>
            <w:fldChar w:fldCharType="separate"/>
          </w:r>
          <w:r>
            <w:t>90</w:t>
          </w:r>
          <w:r>
            <w:fldChar w:fldCharType="end"/>
          </w:r>
          <w:r>
            <w:fldChar w:fldCharType="end"/>
          </w:r>
        </w:p>
        <w:p w14:paraId="0B16D132">
          <w:pPr>
            <w:pStyle w:val="19"/>
            <w:tabs>
              <w:tab w:val="right" w:leader="dot" w:pos="10790"/>
            </w:tabs>
            <w:rPr>
              <w:rFonts w:eastAsiaTheme="minorEastAsia"/>
              <w:lang w:val="zh-CN" w:eastAsia="zh-CN"/>
            </w:rPr>
          </w:pPr>
          <w:r>
            <w:fldChar w:fldCharType="begin"/>
          </w:r>
          <w:r>
            <w:instrText xml:space="preserve"> HYPERLINK \l "_Toc230260745" </w:instrText>
          </w:r>
          <w:r>
            <w:fldChar w:fldCharType="separate"/>
          </w:r>
          <w:r>
            <w:rPr>
              <w:rStyle w:val="12"/>
              <w:rFonts w:ascii="Times New Roman" w:hAnsi="Times New Roman" w:cs="Times New Roman"/>
              <w:b/>
              <w:color w:val="auto"/>
            </w:rPr>
            <w:t>3.1 Key Issues Addressed</w:t>
          </w:r>
          <w:r>
            <w:tab/>
          </w:r>
          <w:r>
            <w:fldChar w:fldCharType="begin"/>
          </w:r>
          <w:r>
            <w:instrText xml:space="preserve"> PAGEREF _Toc230260745 \h </w:instrText>
          </w:r>
          <w:r>
            <w:fldChar w:fldCharType="separate"/>
          </w:r>
          <w:r>
            <w:t>90</w:t>
          </w:r>
          <w:r>
            <w:fldChar w:fldCharType="end"/>
          </w:r>
          <w:r>
            <w:fldChar w:fldCharType="end"/>
          </w:r>
        </w:p>
        <w:p w14:paraId="05643486">
          <w:pPr>
            <w:pStyle w:val="20"/>
            <w:tabs>
              <w:tab w:val="right" w:leader="dot" w:pos="10790"/>
            </w:tabs>
            <w:rPr>
              <w:rFonts w:eastAsiaTheme="minorEastAsia"/>
              <w:lang w:val="zh-CN" w:eastAsia="zh-CN"/>
            </w:rPr>
          </w:pPr>
          <w:r>
            <w:fldChar w:fldCharType="begin"/>
          </w:r>
          <w:r>
            <w:instrText xml:space="preserve"> HYPERLINK \l "_Toc230260746" </w:instrText>
          </w:r>
          <w:r>
            <w:fldChar w:fldCharType="separate"/>
          </w:r>
          <w:r>
            <w:rPr>
              <w:rStyle w:val="12"/>
              <w:rFonts w:ascii="Times New Roman" w:hAnsi="Times New Roman" w:cs="Times New Roman"/>
              <w:b/>
              <w:i/>
              <w:color w:val="auto"/>
            </w:rPr>
            <w:t>3.1.1 Disaster Issues Resolved</w:t>
          </w:r>
          <w:r>
            <w:tab/>
          </w:r>
          <w:r>
            <w:fldChar w:fldCharType="begin"/>
          </w:r>
          <w:r>
            <w:instrText xml:space="preserve"> PAGEREF _Toc230260746 \h </w:instrText>
          </w:r>
          <w:r>
            <w:fldChar w:fldCharType="separate"/>
          </w:r>
          <w:r>
            <w:t>90</w:t>
          </w:r>
          <w:r>
            <w:fldChar w:fldCharType="end"/>
          </w:r>
          <w:r>
            <w:fldChar w:fldCharType="end"/>
          </w:r>
        </w:p>
        <w:p w14:paraId="703FA57C">
          <w:pPr>
            <w:pStyle w:val="19"/>
            <w:tabs>
              <w:tab w:val="right" w:leader="dot" w:pos="10790"/>
            </w:tabs>
            <w:rPr>
              <w:rFonts w:eastAsiaTheme="minorEastAsia"/>
              <w:lang w:val="zh-CN" w:eastAsia="zh-CN"/>
            </w:rPr>
          </w:pPr>
          <w:r>
            <w:fldChar w:fldCharType="begin"/>
          </w:r>
          <w:r>
            <w:instrText xml:space="preserve"> HYPERLINK \l "_Toc230260747" </w:instrText>
          </w:r>
          <w:r>
            <w:fldChar w:fldCharType="separate"/>
          </w:r>
          <w:r>
            <w:rPr>
              <w:rStyle w:val="12"/>
              <w:rFonts w:ascii="Times New Roman" w:hAnsi="Times New Roman" w:cs="Times New Roman"/>
              <w:b/>
              <w:color w:val="auto"/>
            </w:rPr>
            <w:t>3.2 Key Issues Yet To Be Addressed</w:t>
          </w:r>
          <w:r>
            <w:tab/>
          </w:r>
          <w:r>
            <w:fldChar w:fldCharType="begin"/>
          </w:r>
          <w:r>
            <w:instrText xml:space="preserve"> PAGEREF _Toc230260747 \h </w:instrText>
          </w:r>
          <w:r>
            <w:fldChar w:fldCharType="separate"/>
          </w:r>
          <w:r>
            <w:t>91</w:t>
          </w:r>
          <w:r>
            <w:fldChar w:fldCharType="end"/>
          </w:r>
          <w:r>
            <w:fldChar w:fldCharType="end"/>
          </w:r>
        </w:p>
        <w:p w14:paraId="23EAF8A0">
          <w:pPr>
            <w:spacing w:line="276" w:lineRule="auto"/>
            <w:rPr>
              <w:rFonts w:ascii="Times New Roman" w:hAnsi="Times New Roman" w:cs="Times New Roman"/>
            </w:rPr>
          </w:pPr>
          <w:r>
            <w:rPr>
              <w:rFonts w:ascii="Times New Roman" w:hAnsi="Times New Roman" w:cs="Times New Roman"/>
              <w:b/>
              <w:bCs/>
            </w:rPr>
            <w:fldChar w:fldCharType="end"/>
          </w:r>
        </w:p>
      </w:sdtContent>
    </w:sdt>
    <w:p w14:paraId="4BBC92D5"/>
    <w:p w14:paraId="7BF54EF1">
      <w:pPr>
        <w:rPr>
          <w:lang w:val="en-GB"/>
        </w:rPr>
      </w:pPr>
    </w:p>
    <w:p w14:paraId="0E183335">
      <w:pPr>
        <w:rPr>
          <w:lang w:val="en-GB"/>
        </w:rPr>
      </w:pPr>
    </w:p>
    <w:p w14:paraId="7DFDB2B9">
      <w:pPr>
        <w:rPr>
          <w:lang w:val="en-GB"/>
        </w:rPr>
      </w:pPr>
    </w:p>
    <w:p w14:paraId="099F946A">
      <w:pPr>
        <w:rPr>
          <w:lang w:val="en-GB"/>
        </w:rPr>
      </w:pPr>
    </w:p>
    <w:p w14:paraId="7D9B0635">
      <w:pPr>
        <w:rPr>
          <w:lang w:val="en-GB"/>
        </w:rPr>
      </w:pPr>
    </w:p>
    <w:p w14:paraId="17AE93D0">
      <w:pPr>
        <w:rPr>
          <w:lang w:val="en-GB"/>
        </w:rPr>
      </w:pPr>
    </w:p>
    <w:p w14:paraId="23776D67">
      <w:pPr>
        <w:rPr>
          <w:lang w:val="en-GB"/>
        </w:rPr>
      </w:pPr>
    </w:p>
    <w:p w14:paraId="7CB343B1">
      <w:pPr>
        <w:rPr>
          <w:lang w:val="en-GB"/>
        </w:rPr>
      </w:pPr>
    </w:p>
    <w:p w14:paraId="1282A79D">
      <w:pPr>
        <w:rPr>
          <w:lang w:val="en-GB"/>
        </w:rPr>
      </w:pPr>
    </w:p>
    <w:p w14:paraId="70103563">
      <w:pPr>
        <w:rPr>
          <w:lang w:val="en-GB"/>
        </w:rPr>
      </w:pPr>
    </w:p>
    <w:p w14:paraId="12B5167B">
      <w:pPr>
        <w:rPr>
          <w:lang w:val="en-GB"/>
        </w:rPr>
      </w:pPr>
    </w:p>
    <w:p w14:paraId="604AB185">
      <w:pPr>
        <w:rPr>
          <w:lang w:val="en-GB"/>
        </w:rPr>
      </w:pPr>
    </w:p>
    <w:p w14:paraId="3AEB5A7A"/>
    <w:p w14:paraId="7F0CDDB2"/>
    <w:p w14:paraId="014221E0"/>
    <w:p w14:paraId="26951C50"/>
    <w:p w14:paraId="62460850"/>
    <w:p w14:paraId="4D23252C"/>
    <w:p w14:paraId="4EA4FCD9"/>
    <w:p w14:paraId="199D9499"/>
    <w:p w14:paraId="070DD1DB"/>
    <w:p w14:paraId="7F2233B6"/>
    <w:p w14:paraId="79A469C0"/>
    <w:p w14:paraId="75608F7F"/>
    <w:p w14:paraId="0850D8B6">
      <w:pPr>
        <w:pStyle w:val="2"/>
        <w:spacing w:line="480" w:lineRule="auto"/>
        <w:jc w:val="center"/>
      </w:pPr>
      <w:bookmarkStart w:id="1" w:name="_Toc230260711"/>
      <w:r>
        <w:t>LIST OF TABLES</w:t>
      </w:r>
      <w:bookmarkEnd w:id="1"/>
    </w:p>
    <w:p w14:paraId="7832303F">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rPr>
          <w:lang w:val="en-GB"/>
        </w:rPr>
        <w:fldChar w:fldCharType="begin"/>
      </w:r>
      <w:r>
        <w:rPr>
          <w:lang w:val="en-GB"/>
        </w:rPr>
        <w:instrText xml:space="preserve"> TOC \h \z \c "Table" </w:instrText>
      </w:r>
      <w:r>
        <w:rPr>
          <w:lang w:val="en-GB"/>
        </w:rPr>
        <w:fldChar w:fldCharType="separate"/>
      </w:r>
      <w:r>
        <w:fldChar w:fldCharType="begin"/>
      </w:r>
      <w:r>
        <w:instrText xml:space="preserve"> HYPERLINK \l "_Toc229970427" </w:instrText>
      </w:r>
      <w:r>
        <w:fldChar w:fldCharType="separate"/>
      </w:r>
      <w:r>
        <w:rPr>
          <w:rStyle w:val="12"/>
          <w:rFonts w:ascii="Times New Roman" w:hAnsi="Times New Roman" w:cs="Times New Roman"/>
          <w:b/>
          <w:color w:val="auto"/>
          <w:sz w:val="24"/>
          <w:szCs w:val="24"/>
        </w:rPr>
        <w:t>Table 1: Summary of Achievements of Implemented Activities as at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_Toc229970427 \h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871D327">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"_Toc229970428" </w:instrText>
      </w:r>
      <w:r>
        <w:fldChar w:fldCharType="separate"/>
      </w:r>
      <w:r>
        <w:rPr>
          <w:rStyle w:val="12"/>
          <w:rFonts w:ascii="Times New Roman" w:hAnsi="Times New Roman" w:cs="Times New Roman"/>
          <w:b/>
          <w:color w:val="auto"/>
          <w:sz w:val="24"/>
          <w:szCs w:val="24"/>
        </w:rPr>
        <w:t>Table 2: Quarterly Implementation of Planned Activities as at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_Toc229970428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1BE5929">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"_Toc229970429" </w:instrText>
      </w:r>
      <w:r>
        <w:fldChar w:fldCharType="separate"/>
      </w:r>
      <w:r>
        <w:rPr>
          <w:rStyle w:val="12"/>
          <w:rFonts w:ascii="Times New Roman" w:hAnsi="Times New Roman" w:cs="Times New Roman"/>
          <w:b/>
          <w:bCs/>
          <w:color w:val="auto"/>
          <w:sz w:val="24"/>
          <w:szCs w:val="24"/>
        </w:rPr>
        <w:t>Table 3: Update on Programmes Register for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_Toc229970429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E6F3323">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"_Toc229970430" </w:instrText>
      </w:r>
      <w:r>
        <w:fldChar w:fldCharType="separate"/>
      </w:r>
      <w:r>
        <w:rPr>
          <w:rStyle w:val="12"/>
          <w:rFonts w:ascii="Times New Roman" w:hAnsi="Times New Roman" w:cs="Times New Roman"/>
          <w:b/>
          <w:bCs/>
          <w:color w:val="auto"/>
          <w:sz w:val="24"/>
          <w:szCs w:val="24"/>
        </w:rPr>
        <w:t>Table 4: Projects Register for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_Toc229970430 \h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B09BD3B">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"_Toc229970431" </w:instrText>
      </w:r>
      <w:r>
        <w:fldChar w:fldCharType="separate"/>
      </w:r>
      <w:r>
        <w:rPr>
          <w:rStyle w:val="12"/>
          <w:rFonts w:ascii="Times New Roman" w:hAnsi="Times New Roman" w:cs="Times New Roman"/>
          <w:color w:val="auto"/>
          <w:sz w:val="24"/>
          <w:szCs w:val="24"/>
        </w:rPr>
        <w:t xml:space="preserve">Table 5: </w:t>
      </w:r>
      <w:r>
        <w:rPr>
          <w:rStyle w:val="12"/>
          <w:rFonts w:ascii="Times New Roman" w:hAnsi="Times New Roman" w:cs="Times New Roman"/>
          <w:b/>
          <w:bCs/>
          <w:color w:val="auto"/>
          <w:sz w:val="24"/>
          <w:szCs w:val="24"/>
        </w:rPr>
        <w:t>Update on Funding Source for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_Toc229970431 \h </w:instrText>
      </w:r>
      <w:r>
        <w:rPr>
          <w:rFonts w:ascii="Times New Roman" w:hAnsi="Times New Roman" w:cs="Times New Roman"/>
          <w:sz w:val="24"/>
          <w:szCs w:val="24"/>
        </w:rPr>
        <w:fldChar w:fldCharType="separate"/>
      </w:r>
      <w:r>
        <w:rPr>
          <w:rFonts w:ascii="Times New Roman" w:hAnsi="Times New Roman" w:cs="Times New Roman"/>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FAD400D">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"_Toc229970432" </w:instrText>
      </w:r>
      <w:r>
        <w:fldChar w:fldCharType="separate"/>
      </w:r>
      <w:r>
        <w:rPr>
          <w:rStyle w:val="12"/>
          <w:rFonts w:ascii="Times New Roman" w:hAnsi="Times New Roman" w:cs="Times New Roman"/>
          <w:b/>
          <w:bCs/>
          <w:color w:val="auto"/>
          <w:sz w:val="24"/>
          <w:szCs w:val="24"/>
        </w:rPr>
        <w:t>Table 6: Update on Expenditure for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_Toc229970432 \h </w:instrText>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47EEE5F">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"_Toc229970433" </w:instrText>
      </w:r>
      <w:r>
        <w:fldChar w:fldCharType="separate"/>
      </w:r>
      <w:r>
        <w:rPr>
          <w:rStyle w:val="12"/>
          <w:rFonts w:ascii="Times New Roman" w:hAnsi="Times New Roman" w:eastAsia="Times New Roman" w:cs="Times New Roman"/>
          <w:b/>
          <w:i/>
          <w:iCs/>
          <w:color w:val="auto"/>
          <w:sz w:val="24"/>
          <w:szCs w:val="24"/>
        </w:rPr>
        <w:t>Table 7: Update on District Performance Indicators and Targets as at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_Toc229970433 \h </w:instrText>
      </w:r>
      <w:r>
        <w:rPr>
          <w:rFonts w:ascii="Times New Roman" w:hAnsi="Times New Roman" w:cs="Times New Roman"/>
          <w:sz w:val="24"/>
          <w:szCs w:val="24"/>
        </w:rPr>
        <w:fldChar w:fldCharType="separate"/>
      </w:r>
      <w:r>
        <w:rPr>
          <w:rFonts w:ascii="Times New Roman" w:hAnsi="Times New Roman" w:cs="Times New Roman"/>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48B561B">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"_Toc229970434" </w:instrText>
      </w:r>
      <w:r>
        <w:fldChar w:fldCharType="separate"/>
      </w:r>
      <w:r>
        <w:rPr>
          <w:rStyle w:val="12"/>
          <w:rFonts w:ascii="Times New Roman" w:hAnsi="Times New Roman" w:cs="Times New Roman"/>
          <w:b/>
          <w:bCs/>
          <w:color w:val="auto"/>
          <w:sz w:val="24"/>
          <w:szCs w:val="24"/>
        </w:rPr>
        <w:t>Table 8: Update on Critical Development and Poverty Issues in the District –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_Toc229970434 \h </w:instrText>
      </w:r>
      <w:r>
        <w:rPr>
          <w:rFonts w:ascii="Times New Roman" w:hAnsi="Times New Roman" w:cs="Times New Roman"/>
          <w:sz w:val="24"/>
          <w:szCs w:val="24"/>
        </w:rPr>
        <w:fldChar w:fldCharType="separate"/>
      </w:r>
      <w:r>
        <w:rPr>
          <w:rFonts w:ascii="Times New Roman" w:hAnsi="Times New Roman" w:cs="Times New Roman"/>
          <w:sz w:val="24"/>
          <w:szCs w:val="24"/>
        </w:rPr>
        <w:t>76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0730800">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"_Toc229970435" </w:instrText>
      </w:r>
      <w:r>
        <w:fldChar w:fldCharType="separate"/>
      </w:r>
      <w:r>
        <w:rPr>
          <w:rStyle w:val="12"/>
          <w:rFonts w:ascii="Times New Roman" w:hAnsi="Times New Roman" w:cs="Times New Roman"/>
          <w:b/>
          <w:bCs/>
          <w:color w:val="auto"/>
          <w:sz w:val="24"/>
          <w:szCs w:val="24"/>
        </w:rPr>
        <w:t>Table 9 : District Specific Indicators for First Quarter 2026</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_Toc229970435 \h </w:instrText>
      </w:r>
      <w:r>
        <w:rPr>
          <w:rFonts w:ascii="Times New Roman" w:hAnsi="Times New Roman" w:cs="Times New Roman"/>
          <w:sz w:val="24"/>
          <w:szCs w:val="24"/>
        </w:rPr>
        <w:fldChar w:fldCharType="separate"/>
      </w:r>
      <w:r>
        <w:rPr>
          <w:rFonts w:ascii="Times New Roman" w:hAnsi="Times New Roman" w:cs="Times New Roman"/>
          <w:sz w:val="24"/>
          <w:szCs w:val="24"/>
        </w:rPr>
        <w:t>83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806B8B3">
      <w:pPr>
        <w:pStyle w:val="17"/>
        <w:tabs>
          <w:tab w:val="right" w:leader="dot" w:pos="10790"/>
        </w:tabs>
        <w:spacing w:line="48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"_Toc229970436" </w:instrText>
      </w:r>
      <w:r>
        <w:fldChar w:fldCharType="separate"/>
      </w:r>
      <w:r>
        <w:rPr>
          <w:rStyle w:val="12"/>
          <w:rFonts w:ascii="Times New Roman" w:hAnsi="Times New Roman" w:cs="Times New Roman"/>
          <w:b/>
          <w:color w:val="auto"/>
          <w:sz w:val="24"/>
          <w:szCs w:val="24"/>
        </w:rPr>
        <w:t>Table 10: Evaluations Conducted, Findings and Recommendations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_Toc229970436 \h </w:instrText>
      </w:r>
      <w:r>
        <w:rPr>
          <w:rFonts w:ascii="Times New Roman" w:hAnsi="Times New Roman" w:cs="Times New Roman"/>
          <w:sz w:val="24"/>
          <w:szCs w:val="24"/>
        </w:rPr>
        <w:fldChar w:fldCharType="separate"/>
      </w:r>
      <w:r>
        <w:rPr>
          <w:rFonts w:ascii="Times New Roman" w:hAnsi="Times New Roman" w:cs="Times New Roman"/>
          <w:sz w:val="24"/>
          <w:szCs w:val="24"/>
        </w:rPr>
        <w:t>87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182EB04">
      <w:pPr>
        <w:spacing w:line="480" w:lineRule="auto"/>
        <w:rPr>
          <w:lang w:val="en-GB"/>
        </w:rPr>
      </w:pPr>
      <w:r>
        <w:rPr>
          <w:lang w:val="en-GB"/>
        </w:rPr>
        <w:fldChar w:fldCharType="end"/>
      </w:r>
    </w:p>
    <w:p w14:paraId="767EED0A"/>
    <w:p w14:paraId="7E588ABF"/>
    <w:p w14:paraId="25CFB3CE"/>
    <w:p w14:paraId="2C31A766"/>
    <w:p w14:paraId="48A45143">
      <w:pPr>
        <w:rPr>
          <w:lang w:val="en-GB"/>
        </w:rPr>
      </w:pPr>
    </w:p>
    <w:p w14:paraId="22DEA2ED">
      <w:pPr>
        <w:rPr>
          <w:lang w:val="en-GB"/>
        </w:rPr>
      </w:pPr>
    </w:p>
    <w:p w14:paraId="405D6465">
      <w:pPr>
        <w:rPr>
          <w:lang w:val="en-GB"/>
        </w:rPr>
      </w:pPr>
    </w:p>
    <w:p w14:paraId="31827E1C">
      <w:pPr>
        <w:rPr>
          <w:lang w:val="en-GB"/>
        </w:rPr>
      </w:pPr>
    </w:p>
    <w:p w14:paraId="504976FE">
      <w:pPr>
        <w:rPr>
          <w:lang w:val="en-GB"/>
        </w:rPr>
      </w:pPr>
    </w:p>
    <w:p w14:paraId="59576661">
      <w:pPr>
        <w:rPr>
          <w:lang w:val="en-GB"/>
        </w:rPr>
      </w:pPr>
    </w:p>
    <w:p w14:paraId="4EEBEC89">
      <w:pPr>
        <w:rPr>
          <w:lang w:val="en-GB"/>
        </w:rPr>
      </w:pPr>
    </w:p>
    <w:p w14:paraId="22DDBE73">
      <w:pPr>
        <w:rPr>
          <w:lang w:val="en-GB"/>
        </w:rPr>
      </w:pPr>
    </w:p>
    <w:p w14:paraId="41122AC8">
      <w:pPr>
        <w:rPr>
          <w:lang w:val="en-GB"/>
        </w:rPr>
      </w:pPr>
    </w:p>
    <w:p w14:paraId="2D4893E1">
      <w:pPr>
        <w:rPr>
          <w:lang w:val="en-GB"/>
        </w:rPr>
      </w:pPr>
    </w:p>
    <w:p w14:paraId="07EFCB6D">
      <w:pPr>
        <w:pStyle w:val="2"/>
        <w:jc w:val="center"/>
      </w:pPr>
      <w:bookmarkStart w:id="2" w:name="_Toc230260712"/>
      <w:r>
        <w:t>LIST OF FIGURES</w:t>
      </w:r>
      <w:bookmarkEnd w:id="2"/>
    </w:p>
    <w:p w14:paraId="3DB442EC">
      <w:pPr>
        <w:pStyle w:val="17"/>
        <w:tabs>
          <w:tab w:val="right" w:leader="dot" w:pos="10790"/>
        </w:tabs>
        <w:spacing w:line="360" w:lineRule="auto"/>
        <w:rPr>
          <w:rFonts w:eastAsiaTheme="minorEastAsia"/>
          <w:i/>
          <w:iCs/>
          <w:kern w:val="2"/>
          <w:sz w:val="24"/>
          <w:szCs w:val="24"/>
          <w14:ligatures w14:val="standardContextual"/>
        </w:rPr>
      </w:pPr>
      <w:r>
        <w:rPr>
          <w:rFonts w:ascii="Times New Roman" w:hAnsi="Times New Roman" w:cs="Times New Roman"/>
          <w:i/>
          <w:iCs/>
        </w:rPr>
        <w:fldChar w:fldCharType="begin"/>
      </w:r>
      <w:r>
        <w:rPr>
          <w:rFonts w:ascii="Times New Roman" w:hAnsi="Times New Roman" w:cs="Times New Roman"/>
          <w:i/>
          <w:iCs/>
        </w:rPr>
        <w:instrText xml:space="preserve"> TOC \h \z \c "Figure" </w:instrText>
      </w:r>
      <w:r>
        <w:rPr>
          <w:rFonts w:ascii="Times New Roman" w:hAnsi="Times New Roman" w:cs="Times New Roman"/>
          <w:i/>
          <w:iCs/>
        </w:rPr>
        <w:fldChar w:fldCharType="separate"/>
      </w:r>
      <w:r>
        <w:fldChar w:fldCharType="begin"/>
      </w:r>
      <w:r>
        <w:instrText xml:space="preserve"> HYPERLINK \l "_Toc229970869" </w:instrText>
      </w:r>
      <w:r>
        <w:fldChar w:fldCharType="separate"/>
      </w:r>
      <w:r>
        <w:rPr>
          <w:rStyle w:val="12"/>
          <w:i/>
          <w:iCs/>
          <w:color w:val="auto"/>
        </w:rPr>
        <w:t>Figure 1: IMPLEMENTATION OF THE 2026 AAP BASE ON DIMENSSIONS</w:t>
      </w:r>
      <w:r>
        <w:rPr>
          <w:i/>
          <w:iCs/>
        </w:rPr>
        <w:tab/>
      </w:r>
      <w:r>
        <w:rPr>
          <w:i/>
          <w:iCs/>
        </w:rPr>
        <w:fldChar w:fldCharType="begin"/>
      </w:r>
      <w:r>
        <w:rPr>
          <w:i/>
          <w:iCs/>
        </w:rPr>
        <w:instrText xml:space="preserve"> PAGEREF _Toc229970869 \h </w:instrText>
      </w:r>
      <w:r>
        <w:rPr>
          <w:i/>
          <w:iCs/>
        </w:rPr>
        <w:fldChar w:fldCharType="separate"/>
      </w:r>
      <w:r>
        <w:rPr>
          <w:i/>
          <w:iCs/>
        </w:rPr>
        <w:t>8</w:t>
      </w:r>
      <w:r>
        <w:rPr>
          <w:i/>
          <w:iCs/>
        </w:rPr>
        <w:fldChar w:fldCharType="end"/>
      </w:r>
      <w:r>
        <w:rPr>
          <w:i/>
          <w:iCs/>
        </w:rPr>
        <w:fldChar w:fldCharType="end"/>
      </w:r>
    </w:p>
    <w:p w14:paraId="477825BC">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"_Toc229970870" </w:instrText>
      </w:r>
      <w:r>
        <w:fldChar w:fldCharType="separate"/>
      </w:r>
      <w:r>
        <w:rPr>
          <w:rStyle w:val="12"/>
          <w:i/>
          <w:iCs/>
          <w:color w:val="auto"/>
        </w:rPr>
        <w:t>Figure 2: LEVEL OF IMPLEMENTATION OF THE 2026 ANNUAL ACTION PLAN (AAP)</w:t>
      </w:r>
      <w:r>
        <w:rPr>
          <w:i/>
          <w:iCs/>
        </w:rPr>
        <w:tab/>
      </w:r>
      <w:r>
        <w:rPr>
          <w:i/>
          <w:iCs/>
        </w:rPr>
        <w:fldChar w:fldCharType="begin"/>
      </w:r>
      <w:r>
        <w:rPr>
          <w:i/>
          <w:iCs/>
        </w:rPr>
        <w:instrText xml:space="preserve"> PAGEREF _Toc229970870 \h </w:instrText>
      </w:r>
      <w:r>
        <w:rPr>
          <w:i/>
          <w:iCs/>
        </w:rPr>
        <w:fldChar w:fldCharType="separate"/>
      </w:r>
      <w:r>
        <w:rPr>
          <w:i/>
          <w:iCs/>
        </w:rPr>
        <w:t>9</w:t>
      </w:r>
      <w:r>
        <w:rPr>
          <w:i/>
          <w:iCs/>
        </w:rPr>
        <w:fldChar w:fldCharType="end"/>
      </w:r>
      <w:r>
        <w:rPr>
          <w:i/>
          <w:iCs/>
        </w:rPr>
        <w:fldChar w:fldCharType="end"/>
      </w:r>
    </w:p>
    <w:p w14:paraId="674C7A81">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"_Toc229970871" </w:instrText>
      </w:r>
      <w:r>
        <w:fldChar w:fldCharType="separate"/>
      </w:r>
      <w:r>
        <w:rPr>
          <w:rStyle w:val="12"/>
          <w:i/>
          <w:iCs/>
          <w:color w:val="auto"/>
        </w:rPr>
        <w:t>Figure 3: PROPORTION OF THE 2026 ANNUAL ACTION PLAN (AAP) IMPLEMENTED</w:t>
      </w:r>
      <w:r>
        <w:rPr>
          <w:i/>
          <w:iCs/>
        </w:rPr>
        <w:tab/>
      </w:r>
      <w:r>
        <w:rPr>
          <w:i/>
          <w:iCs/>
        </w:rPr>
        <w:fldChar w:fldCharType="begin"/>
      </w:r>
      <w:r>
        <w:rPr>
          <w:i/>
          <w:iCs/>
        </w:rPr>
        <w:instrText xml:space="preserve"> PAGEREF _Toc229970871 \h </w:instrText>
      </w:r>
      <w:r>
        <w:rPr>
          <w:i/>
          <w:iCs/>
        </w:rPr>
        <w:fldChar w:fldCharType="separate"/>
      </w:r>
      <w:r>
        <w:rPr>
          <w:i/>
          <w:iCs/>
        </w:rPr>
        <w:t>10</w:t>
      </w:r>
      <w:r>
        <w:rPr>
          <w:i/>
          <w:iCs/>
        </w:rPr>
        <w:fldChar w:fldCharType="end"/>
      </w:r>
      <w:r>
        <w:rPr>
          <w:i/>
          <w:iCs/>
        </w:rPr>
        <w:fldChar w:fldCharType="end"/>
      </w:r>
    </w:p>
    <w:p w14:paraId="7C04A590">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"_Toc229970872" </w:instrText>
      </w:r>
      <w:r>
        <w:fldChar w:fldCharType="separate"/>
      </w:r>
      <w:r>
        <w:rPr>
          <w:rStyle w:val="12"/>
          <w:i/>
          <w:iCs/>
          <w:color w:val="auto"/>
        </w:rPr>
        <w:t>Figure 4: PROPORTION OF THE 2026-2029 MEDIUM TERM PLAN IMPLEMENTED</w:t>
      </w:r>
      <w:r>
        <w:rPr>
          <w:i/>
          <w:iCs/>
        </w:rPr>
        <w:tab/>
      </w:r>
      <w:r>
        <w:rPr>
          <w:i/>
          <w:iCs/>
        </w:rPr>
        <w:fldChar w:fldCharType="begin"/>
      </w:r>
      <w:r>
        <w:rPr>
          <w:i/>
          <w:iCs/>
        </w:rPr>
        <w:instrText xml:space="preserve"> PAGEREF _Toc229970872 \h </w:instrText>
      </w:r>
      <w:r>
        <w:rPr>
          <w:i/>
          <w:iCs/>
        </w:rPr>
        <w:fldChar w:fldCharType="separate"/>
      </w:r>
      <w:r>
        <w:rPr>
          <w:i/>
          <w:iCs/>
        </w:rPr>
        <w:t>11</w:t>
      </w:r>
      <w:r>
        <w:rPr>
          <w:i/>
          <w:iCs/>
        </w:rPr>
        <w:fldChar w:fldCharType="end"/>
      </w:r>
      <w:r>
        <w:rPr>
          <w:i/>
          <w:iCs/>
        </w:rPr>
        <w:fldChar w:fldCharType="end"/>
      </w:r>
    </w:p>
    <w:p w14:paraId="59508B6F">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"_Toc229970873" </w:instrText>
      </w:r>
      <w:r>
        <w:fldChar w:fldCharType="separate"/>
      </w:r>
      <w:r>
        <w:rPr>
          <w:rStyle w:val="12"/>
          <w:i/>
          <w:iCs/>
          <w:color w:val="auto"/>
        </w:rPr>
        <w:t>Figure 5: DISTRIBUTION OF 20,000 SANITARY PADS TO SUPPORT GIRL CHILD IN THE DISTRICT</w:t>
      </w:r>
      <w:r>
        <w:rPr>
          <w:i/>
          <w:iCs/>
        </w:rPr>
        <w:tab/>
      </w:r>
      <w:r>
        <w:rPr>
          <w:i/>
          <w:iCs/>
        </w:rPr>
        <w:fldChar w:fldCharType="begin"/>
      </w:r>
      <w:r>
        <w:rPr>
          <w:i/>
          <w:iCs/>
        </w:rPr>
        <w:instrText xml:space="preserve"> PAGEREF _Toc229970873 \h </w:instrText>
      </w:r>
      <w:r>
        <w:rPr>
          <w:i/>
          <w:iCs/>
        </w:rPr>
        <w:fldChar w:fldCharType="separate"/>
      </w:r>
      <w:r>
        <w:rPr>
          <w:i/>
          <w:iCs/>
        </w:rPr>
        <w:t>39</w:t>
      </w:r>
      <w:r>
        <w:rPr>
          <w:i/>
          <w:iCs/>
        </w:rPr>
        <w:fldChar w:fldCharType="end"/>
      </w:r>
      <w:r>
        <w:rPr>
          <w:i/>
          <w:iCs/>
        </w:rPr>
        <w:fldChar w:fldCharType="end"/>
      </w:r>
    </w:p>
    <w:p w14:paraId="02020090">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"_Toc229970874" </w:instrText>
      </w:r>
      <w:r>
        <w:fldChar w:fldCharType="separate"/>
      </w:r>
      <w:r>
        <w:rPr>
          <w:rStyle w:val="12"/>
          <w:i/>
          <w:iCs/>
          <w:color w:val="auto"/>
        </w:rPr>
        <w:t>Figure 6: DONATION OF COMPUTERS TO SELECTED SCHOOLS BY THE HON. DCE</w:t>
      </w:r>
      <w:r>
        <w:rPr>
          <w:i/>
          <w:iCs/>
        </w:rPr>
        <w:tab/>
      </w:r>
      <w:r>
        <w:rPr>
          <w:i/>
          <w:iCs/>
        </w:rPr>
        <w:fldChar w:fldCharType="begin"/>
      </w:r>
      <w:r>
        <w:rPr>
          <w:i/>
          <w:iCs/>
        </w:rPr>
        <w:instrText xml:space="preserve"> PAGEREF _Toc229970874 \h </w:instrText>
      </w:r>
      <w:r>
        <w:rPr>
          <w:i/>
          <w:iCs/>
        </w:rPr>
        <w:fldChar w:fldCharType="separate"/>
      </w:r>
      <w:r>
        <w:rPr>
          <w:i/>
          <w:iCs/>
        </w:rPr>
        <w:t>39</w:t>
      </w:r>
      <w:r>
        <w:rPr>
          <w:i/>
          <w:iCs/>
        </w:rPr>
        <w:fldChar w:fldCharType="end"/>
      </w:r>
      <w:r>
        <w:rPr>
          <w:i/>
          <w:iCs/>
        </w:rPr>
        <w:fldChar w:fldCharType="end"/>
      </w:r>
    </w:p>
    <w:p w14:paraId="21DC429F">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"_Toc229970875" </w:instrText>
      </w:r>
      <w:r>
        <w:fldChar w:fldCharType="separate"/>
      </w:r>
      <w:r>
        <w:rPr>
          <w:rStyle w:val="12"/>
          <w:i/>
          <w:iCs/>
          <w:color w:val="auto"/>
        </w:rPr>
        <w:t>Figure 7: PREPARATION FOR DISTRICT SPORT FESTIVAL IN THE DISTRICT</w:t>
      </w:r>
      <w:r>
        <w:rPr>
          <w:i/>
          <w:iCs/>
        </w:rPr>
        <w:tab/>
      </w:r>
      <w:r>
        <w:rPr>
          <w:i/>
          <w:iCs/>
        </w:rPr>
        <w:fldChar w:fldCharType="begin"/>
      </w:r>
      <w:r>
        <w:rPr>
          <w:i/>
          <w:iCs/>
        </w:rPr>
        <w:instrText xml:space="preserve"> PAGEREF _Toc229970875 \h </w:instrText>
      </w:r>
      <w:r>
        <w:rPr>
          <w:i/>
          <w:iCs/>
        </w:rPr>
        <w:fldChar w:fldCharType="separate"/>
      </w:r>
      <w:r>
        <w:rPr>
          <w:i/>
          <w:iCs/>
        </w:rPr>
        <w:t>40</w:t>
      </w:r>
      <w:r>
        <w:rPr>
          <w:i/>
          <w:iCs/>
        </w:rPr>
        <w:fldChar w:fldCharType="end"/>
      </w:r>
      <w:r>
        <w:rPr>
          <w:i/>
          <w:iCs/>
        </w:rPr>
        <w:fldChar w:fldCharType="end"/>
      </w:r>
    </w:p>
    <w:p w14:paraId="19F48AFC">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"_Toc229970876" </w:instrText>
      </w:r>
      <w:r>
        <w:fldChar w:fldCharType="separate"/>
      </w:r>
      <w:r>
        <w:rPr>
          <w:rStyle w:val="12"/>
          <w:i/>
          <w:iCs/>
          <w:color w:val="auto"/>
        </w:rPr>
        <w:t>Figure 8: CULTURE DAY CELEBRATION BY A SCHOOL IN THE DISTRICT</w:t>
      </w:r>
      <w:r>
        <w:rPr>
          <w:i/>
          <w:iCs/>
        </w:rPr>
        <w:tab/>
      </w:r>
      <w:r>
        <w:rPr>
          <w:i/>
          <w:iCs/>
        </w:rPr>
        <w:fldChar w:fldCharType="begin"/>
      </w:r>
      <w:r>
        <w:rPr>
          <w:i/>
          <w:iCs/>
        </w:rPr>
        <w:instrText xml:space="preserve"> PAGEREF _Toc229970876 \h </w:instrText>
      </w:r>
      <w:r>
        <w:rPr>
          <w:i/>
          <w:iCs/>
        </w:rPr>
        <w:fldChar w:fldCharType="separate"/>
      </w:r>
      <w:r>
        <w:rPr>
          <w:i/>
          <w:iCs/>
        </w:rPr>
        <w:t>40</w:t>
      </w:r>
      <w:r>
        <w:rPr>
          <w:i/>
          <w:iCs/>
        </w:rPr>
        <w:fldChar w:fldCharType="end"/>
      </w:r>
      <w:r>
        <w:rPr>
          <w:i/>
          <w:iCs/>
        </w:rPr>
        <w:fldChar w:fldCharType="end"/>
      </w:r>
    </w:p>
    <w:p w14:paraId="55849906">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"_Toc229970877" </w:instrText>
      </w:r>
      <w:r>
        <w:fldChar w:fldCharType="separate"/>
      </w:r>
      <w:r>
        <w:rPr>
          <w:rStyle w:val="12"/>
          <w:i/>
          <w:iCs/>
          <w:color w:val="auto"/>
        </w:rPr>
        <w:t>Figure 9: CAPACITY –BUILDING SCIENCE AND MATHEMATICS TEACHERS IN THE DISTRICT</w:t>
      </w:r>
      <w:r>
        <w:rPr>
          <w:i/>
          <w:iCs/>
        </w:rPr>
        <w:tab/>
      </w:r>
      <w:r>
        <w:rPr>
          <w:i/>
          <w:iCs/>
        </w:rPr>
        <w:fldChar w:fldCharType="begin"/>
      </w:r>
      <w:r>
        <w:rPr>
          <w:i/>
          <w:iCs/>
        </w:rPr>
        <w:instrText xml:space="preserve"> PAGEREF _Toc229970877 \h </w:instrText>
      </w:r>
      <w:r>
        <w:rPr>
          <w:i/>
          <w:iCs/>
        </w:rPr>
        <w:fldChar w:fldCharType="separate"/>
      </w:r>
      <w:r>
        <w:rPr>
          <w:i/>
          <w:iCs/>
        </w:rPr>
        <w:t>41</w:t>
      </w:r>
      <w:r>
        <w:rPr>
          <w:i/>
          <w:iCs/>
        </w:rPr>
        <w:fldChar w:fldCharType="end"/>
      </w:r>
      <w:r>
        <w:rPr>
          <w:i/>
          <w:iCs/>
        </w:rPr>
        <w:fldChar w:fldCharType="end"/>
      </w:r>
    </w:p>
    <w:p w14:paraId="5AEF4CDA">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"_Toc229970878" </w:instrText>
      </w:r>
      <w:r>
        <w:fldChar w:fldCharType="separate"/>
      </w:r>
      <w:r>
        <w:rPr>
          <w:rStyle w:val="12"/>
          <w:i/>
          <w:iCs/>
          <w:color w:val="auto"/>
        </w:rPr>
        <w:t>Figure 10: GIRLS IN STEM INTER-SCHOOLS COMPETITION HELD IN THE DISTRICT</w:t>
      </w:r>
      <w:r>
        <w:rPr>
          <w:i/>
          <w:iCs/>
        </w:rPr>
        <w:tab/>
      </w:r>
      <w:r>
        <w:rPr>
          <w:i/>
          <w:iCs/>
        </w:rPr>
        <w:fldChar w:fldCharType="begin"/>
      </w:r>
      <w:r>
        <w:rPr>
          <w:i/>
          <w:iCs/>
        </w:rPr>
        <w:instrText xml:space="preserve"> PAGEREF _Toc229970878 \h </w:instrText>
      </w:r>
      <w:r>
        <w:rPr>
          <w:i/>
          <w:iCs/>
        </w:rPr>
        <w:fldChar w:fldCharType="separate"/>
      </w:r>
      <w:r>
        <w:rPr>
          <w:i/>
          <w:iCs/>
        </w:rPr>
        <w:t>41</w:t>
      </w:r>
      <w:r>
        <w:rPr>
          <w:i/>
          <w:iCs/>
        </w:rPr>
        <w:fldChar w:fldCharType="end"/>
      </w:r>
      <w:r>
        <w:rPr>
          <w:i/>
          <w:iCs/>
        </w:rPr>
        <w:fldChar w:fldCharType="end"/>
      </w:r>
    </w:p>
    <w:p w14:paraId="29642096">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"_Toc229970879" </w:instrText>
      </w:r>
      <w:r>
        <w:fldChar w:fldCharType="separate"/>
      </w:r>
      <w:r>
        <w:rPr>
          <w:rStyle w:val="12"/>
          <w:i/>
          <w:iCs/>
          <w:color w:val="auto"/>
        </w:rPr>
        <w:t>Figure 11: SENSITIZATION OF JHS STUDENTS ON TVET PROGRAMMES BY AVTI</w:t>
      </w:r>
      <w:r>
        <w:rPr>
          <w:i/>
          <w:iCs/>
        </w:rPr>
        <w:tab/>
      </w:r>
      <w:r>
        <w:rPr>
          <w:i/>
          <w:iCs/>
        </w:rPr>
        <w:fldChar w:fldCharType="begin"/>
      </w:r>
      <w:r>
        <w:rPr>
          <w:i/>
          <w:iCs/>
        </w:rPr>
        <w:instrText xml:space="preserve"> PAGEREF _Toc229970879 \h </w:instrText>
      </w:r>
      <w:r>
        <w:rPr>
          <w:i/>
          <w:iCs/>
        </w:rPr>
        <w:fldChar w:fldCharType="separate"/>
      </w:r>
      <w:r>
        <w:rPr>
          <w:i/>
          <w:iCs/>
        </w:rPr>
        <w:t>42</w:t>
      </w:r>
      <w:r>
        <w:rPr>
          <w:i/>
          <w:iCs/>
        </w:rPr>
        <w:fldChar w:fldCharType="end"/>
      </w:r>
      <w:r>
        <w:rPr>
          <w:i/>
          <w:iCs/>
        </w:rPr>
        <w:fldChar w:fldCharType="end"/>
      </w:r>
    </w:p>
    <w:p w14:paraId="0142E8B9">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"_Toc229970880" </w:instrText>
      </w:r>
      <w:r>
        <w:fldChar w:fldCharType="separate"/>
      </w:r>
      <w:r>
        <w:rPr>
          <w:rStyle w:val="12"/>
          <w:i/>
          <w:iCs/>
          <w:color w:val="auto"/>
        </w:rPr>
        <w:t>Figure 12: NATIONAL SANITATION DAY CLEAN-UP EXERCISE OBSERVED IN THE DISTRICT</w:t>
      </w:r>
      <w:r>
        <w:rPr>
          <w:i/>
          <w:iCs/>
        </w:rPr>
        <w:tab/>
      </w:r>
      <w:r>
        <w:rPr>
          <w:i/>
          <w:iCs/>
        </w:rPr>
        <w:fldChar w:fldCharType="begin"/>
      </w:r>
      <w:r>
        <w:rPr>
          <w:i/>
          <w:iCs/>
        </w:rPr>
        <w:instrText xml:space="preserve"> PAGEREF _Toc229970880 \h </w:instrText>
      </w:r>
      <w:r>
        <w:rPr>
          <w:i/>
          <w:iCs/>
        </w:rPr>
        <w:fldChar w:fldCharType="separate"/>
      </w:r>
      <w:r>
        <w:rPr>
          <w:i/>
          <w:iCs/>
        </w:rPr>
        <w:t>43</w:t>
      </w:r>
      <w:r>
        <w:rPr>
          <w:i/>
          <w:iCs/>
        </w:rPr>
        <w:fldChar w:fldCharType="end"/>
      </w:r>
      <w:r>
        <w:rPr>
          <w:i/>
          <w:iCs/>
        </w:rPr>
        <w:fldChar w:fldCharType="end"/>
      </w:r>
    </w:p>
    <w:p w14:paraId="7EE6A698">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"_Toc229970881" </w:instrText>
      </w:r>
      <w:r>
        <w:fldChar w:fldCharType="separate"/>
      </w:r>
      <w:r>
        <w:rPr>
          <w:rStyle w:val="12"/>
          <w:i/>
          <w:iCs/>
          <w:color w:val="auto"/>
        </w:rPr>
        <w:t>Figure 13: INAUGURATION OF E-WASTE MANAGEMENT COMMITTEE IN THE DISTRICT</w:t>
      </w:r>
      <w:r>
        <w:rPr>
          <w:i/>
          <w:iCs/>
        </w:rPr>
        <w:tab/>
      </w:r>
      <w:r>
        <w:rPr>
          <w:i/>
          <w:iCs/>
        </w:rPr>
        <w:fldChar w:fldCharType="begin"/>
      </w:r>
      <w:r>
        <w:rPr>
          <w:i/>
          <w:iCs/>
        </w:rPr>
        <w:instrText xml:space="preserve"> PAGEREF _Toc229970881 \h </w:instrText>
      </w:r>
      <w:r>
        <w:rPr>
          <w:i/>
          <w:iCs/>
        </w:rPr>
        <w:fldChar w:fldCharType="separate"/>
      </w:r>
      <w:r>
        <w:rPr>
          <w:i/>
          <w:iCs/>
        </w:rPr>
        <w:t>44</w:t>
      </w:r>
      <w:r>
        <w:rPr>
          <w:i/>
          <w:iCs/>
        </w:rPr>
        <w:fldChar w:fldCharType="end"/>
      </w:r>
      <w:r>
        <w:rPr>
          <w:i/>
          <w:iCs/>
        </w:rPr>
        <w:fldChar w:fldCharType="end"/>
      </w:r>
    </w:p>
    <w:p w14:paraId="7192078F">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"_Toc229970882" </w:instrText>
      </w:r>
      <w:r>
        <w:fldChar w:fldCharType="separate"/>
      </w:r>
      <w:r>
        <w:rPr>
          <w:rStyle w:val="12"/>
          <w:i/>
          <w:iCs/>
          <w:color w:val="auto"/>
        </w:rPr>
        <w:t>Figure 14: PUBLIC EDUCATION ON THE LEAP REASSESSMENT PROGRAMME ON ANANSE FM</w:t>
      </w:r>
      <w:r>
        <w:rPr>
          <w:i/>
          <w:iCs/>
        </w:rPr>
        <w:tab/>
      </w:r>
      <w:r>
        <w:rPr>
          <w:i/>
          <w:iCs/>
        </w:rPr>
        <w:fldChar w:fldCharType="begin"/>
      </w:r>
      <w:r>
        <w:rPr>
          <w:i/>
          <w:iCs/>
        </w:rPr>
        <w:instrText xml:space="preserve"> PAGEREF _Toc229970882 \h </w:instrText>
      </w:r>
      <w:r>
        <w:rPr>
          <w:i/>
          <w:iCs/>
        </w:rPr>
        <w:fldChar w:fldCharType="separate"/>
      </w:r>
      <w:r>
        <w:rPr>
          <w:i/>
          <w:iCs/>
        </w:rPr>
        <w:t>44</w:t>
      </w:r>
      <w:r>
        <w:rPr>
          <w:i/>
          <w:iCs/>
        </w:rPr>
        <w:fldChar w:fldCharType="end"/>
      </w:r>
      <w:r>
        <w:rPr>
          <w:i/>
          <w:iCs/>
        </w:rPr>
        <w:fldChar w:fldCharType="end"/>
      </w:r>
    </w:p>
    <w:p w14:paraId="0A38E560">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"_Toc229970883" </w:instrText>
      </w:r>
      <w:r>
        <w:fldChar w:fldCharType="separate"/>
      </w:r>
      <w:r>
        <w:rPr>
          <w:rStyle w:val="12"/>
          <w:i/>
          <w:iCs/>
          <w:color w:val="auto"/>
        </w:rPr>
        <w:t>Figure 15: SENSITIZATION ON THE LEAP REASSESSMENT PROGRAMME IN THE DISTRICT</w:t>
      </w:r>
      <w:r>
        <w:rPr>
          <w:i/>
          <w:iCs/>
        </w:rPr>
        <w:tab/>
      </w:r>
      <w:r>
        <w:rPr>
          <w:i/>
          <w:iCs/>
        </w:rPr>
        <w:fldChar w:fldCharType="begin"/>
      </w:r>
      <w:r>
        <w:rPr>
          <w:i/>
          <w:iCs/>
        </w:rPr>
        <w:instrText xml:space="preserve"> PAGEREF _Toc229970883 \h </w:instrText>
      </w:r>
      <w:r>
        <w:rPr>
          <w:i/>
          <w:iCs/>
        </w:rPr>
        <w:fldChar w:fldCharType="separate"/>
      </w:r>
      <w:r>
        <w:rPr>
          <w:i/>
          <w:iCs/>
        </w:rPr>
        <w:t>45</w:t>
      </w:r>
      <w:r>
        <w:rPr>
          <w:i/>
          <w:iCs/>
        </w:rPr>
        <w:fldChar w:fldCharType="end"/>
      </w:r>
      <w:r>
        <w:rPr>
          <w:i/>
          <w:iCs/>
        </w:rPr>
        <w:fldChar w:fldCharType="end"/>
      </w:r>
    </w:p>
    <w:p w14:paraId="43C4410F">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"_Toc229970884" </w:instrText>
      </w:r>
      <w:r>
        <w:fldChar w:fldCharType="separate"/>
      </w:r>
      <w:r>
        <w:rPr>
          <w:rStyle w:val="12"/>
          <w:i/>
          <w:iCs/>
          <w:color w:val="auto"/>
        </w:rPr>
        <w:t>Figure 16: VALIDATION OF LEAP PROSPECTIVE HOUSEHOLD MEMBERS</w:t>
      </w:r>
      <w:r>
        <w:rPr>
          <w:i/>
          <w:iCs/>
        </w:rPr>
        <w:tab/>
      </w:r>
      <w:r>
        <w:rPr>
          <w:i/>
          <w:iCs/>
        </w:rPr>
        <w:fldChar w:fldCharType="begin"/>
      </w:r>
      <w:r>
        <w:rPr>
          <w:i/>
          <w:iCs/>
        </w:rPr>
        <w:instrText xml:space="preserve"> PAGEREF _Toc229970884 \h </w:instrText>
      </w:r>
      <w:r>
        <w:rPr>
          <w:i/>
          <w:iCs/>
        </w:rPr>
        <w:fldChar w:fldCharType="separate"/>
      </w:r>
      <w:r>
        <w:rPr>
          <w:i/>
          <w:iCs/>
        </w:rPr>
        <w:t>45</w:t>
      </w:r>
      <w:r>
        <w:rPr>
          <w:i/>
          <w:iCs/>
        </w:rPr>
        <w:fldChar w:fldCharType="end"/>
      </w:r>
      <w:r>
        <w:rPr>
          <w:i/>
          <w:iCs/>
        </w:rPr>
        <w:fldChar w:fldCharType="end"/>
      </w:r>
    </w:p>
    <w:p w14:paraId="5B00A43B">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"_Toc229970885" </w:instrText>
      </w:r>
      <w:r>
        <w:fldChar w:fldCharType="separate"/>
      </w:r>
      <w:r>
        <w:rPr>
          <w:rStyle w:val="12"/>
          <w:i/>
          <w:iCs/>
          <w:color w:val="auto"/>
        </w:rPr>
        <w:t>Figure 17: MONITORING OF PWD ACTIVITIES IN THE DISTRICT</w:t>
      </w:r>
      <w:r>
        <w:rPr>
          <w:i/>
          <w:iCs/>
        </w:rPr>
        <w:tab/>
      </w:r>
      <w:r>
        <w:rPr>
          <w:i/>
          <w:iCs/>
        </w:rPr>
        <w:fldChar w:fldCharType="begin"/>
      </w:r>
      <w:r>
        <w:rPr>
          <w:i/>
          <w:iCs/>
        </w:rPr>
        <w:instrText xml:space="preserve"> PAGEREF _Toc229970885 \h </w:instrText>
      </w:r>
      <w:r>
        <w:rPr>
          <w:i/>
          <w:iCs/>
        </w:rPr>
        <w:fldChar w:fldCharType="separate"/>
      </w:r>
      <w:r>
        <w:rPr>
          <w:i/>
          <w:iCs/>
        </w:rPr>
        <w:t>45</w:t>
      </w:r>
      <w:r>
        <w:rPr>
          <w:i/>
          <w:iCs/>
        </w:rPr>
        <w:fldChar w:fldCharType="end"/>
      </w:r>
      <w:r>
        <w:rPr>
          <w:i/>
          <w:iCs/>
        </w:rPr>
        <w:fldChar w:fldCharType="end"/>
      </w:r>
    </w:p>
    <w:p w14:paraId="42A945B9">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"_Toc229970886" </w:instrText>
      </w:r>
      <w:r>
        <w:fldChar w:fldCharType="separate"/>
      </w:r>
      <w:r>
        <w:rPr>
          <w:rStyle w:val="12"/>
          <w:i/>
          <w:iCs/>
          <w:color w:val="auto"/>
        </w:rPr>
        <w:t>Figure 18: CELEBRATION OF INDEPENDENCE DAY IN THE DISTRICT</w:t>
      </w:r>
      <w:r>
        <w:rPr>
          <w:i/>
          <w:iCs/>
        </w:rPr>
        <w:tab/>
      </w:r>
      <w:r>
        <w:rPr>
          <w:i/>
          <w:iCs/>
        </w:rPr>
        <w:fldChar w:fldCharType="begin"/>
      </w:r>
      <w:r>
        <w:rPr>
          <w:i/>
          <w:iCs/>
        </w:rPr>
        <w:instrText xml:space="preserve"> PAGEREF _Toc229970886 \h </w:instrText>
      </w:r>
      <w:r>
        <w:rPr>
          <w:i/>
          <w:iCs/>
        </w:rPr>
        <w:fldChar w:fldCharType="separate"/>
      </w:r>
      <w:r>
        <w:rPr>
          <w:i/>
          <w:iCs/>
        </w:rPr>
        <w:t>47</w:t>
      </w:r>
      <w:r>
        <w:rPr>
          <w:i/>
          <w:iCs/>
        </w:rPr>
        <w:fldChar w:fldCharType="end"/>
      </w:r>
      <w:r>
        <w:rPr>
          <w:i/>
          <w:iCs/>
        </w:rPr>
        <w:fldChar w:fldCharType="end"/>
      </w:r>
    </w:p>
    <w:p w14:paraId="72E49F53">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"_Toc229970887" </w:instrText>
      </w:r>
      <w:r>
        <w:fldChar w:fldCharType="separate"/>
      </w:r>
      <w:r>
        <w:rPr>
          <w:rStyle w:val="12"/>
          <w:i/>
          <w:iCs/>
          <w:color w:val="auto"/>
        </w:rPr>
        <w:t>FIGURE 19: WORKING VISIT BY PROF. LORD MENSAH-HEAD OF LOCAL GOVERNMENT SERVICE</w:t>
      </w:r>
      <w:r>
        <w:rPr>
          <w:i/>
          <w:iCs/>
        </w:rPr>
        <w:tab/>
      </w:r>
      <w:r>
        <w:rPr>
          <w:i/>
          <w:iCs/>
        </w:rPr>
        <w:fldChar w:fldCharType="begin"/>
      </w:r>
      <w:r>
        <w:rPr>
          <w:i/>
          <w:iCs/>
        </w:rPr>
        <w:instrText xml:space="preserve"> PAGEREF _Toc229970887 \h </w:instrText>
      </w:r>
      <w:r>
        <w:rPr>
          <w:i/>
          <w:iCs/>
        </w:rPr>
        <w:fldChar w:fldCharType="separate"/>
      </w:r>
      <w:r>
        <w:rPr>
          <w:i/>
          <w:iCs/>
        </w:rPr>
        <w:t>47</w:t>
      </w:r>
      <w:r>
        <w:rPr>
          <w:i/>
          <w:iCs/>
        </w:rPr>
        <w:fldChar w:fldCharType="end"/>
      </w:r>
      <w:r>
        <w:rPr>
          <w:i/>
          <w:iCs/>
        </w:rPr>
        <w:fldChar w:fldCharType="end"/>
      </w:r>
    </w:p>
    <w:p w14:paraId="47C11A2E">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"_Toc229970888" </w:instrText>
      </w:r>
      <w:r>
        <w:fldChar w:fldCharType="separate"/>
      </w:r>
      <w:r>
        <w:rPr>
          <w:rStyle w:val="12"/>
          <w:i/>
          <w:iCs/>
          <w:color w:val="auto"/>
        </w:rPr>
        <w:t>Figure 20: WORKING VISIT/ MONITORING OF PROJECTS BY HON. RITA AWATEY- EASTERN REGIONAL MINISTER</w:t>
      </w:r>
      <w:r>
        <w:rPr>
          <w:i/>
          <w:iCs/>
        </w:rPr>
        <w:tab/>
      </w:r>
      <w:r>
        <w:rPr>
          <w:i/>
          <w:iCs/>
        </w:rPr>
        <w:fldChar w:fldCharType="begin"/>
      </w:r>
      <w:r>
        <w:rPr>
          <w:i/>
          <w:iCs/>
        </w:rPr>
        <w:instrText xml:space="preserve"> PAGEREF _Toc229970888 \h </w:instrText>
      </w:r>
      <w:r>
        <w:rPr>
          <w:i/>
          <w:iCs/>
        </w:rPr>
        <w:fldChar w:fldCharType="separate"/>
      </w:r>
      <w:r>
        <w:rPr>
          <w:i/>
          <w:iCs/>
        </w:rPr>
        <w:t>48</w:t>
      </w:r>
      <w:r>
        <w:rPr>
          <w:i/>
          <w:iCs/>
        </w:rPr>
        <w:fldChar w:fldCharType="end"/>
      </w:r>
      <w:r>
        <w:rPr>
          <w:i/>
          <w:iCs/>
        </w:rPr>
        <w:fldChar w:fldCharType="end"/>
      </w:r>
    </w:p>
    <w:p w14:paraId="56162742">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"_Toc229970889" </w:instrText>
      </w:r>
      <w:r>
        <w:fldChar w:fldCharType="separate"/>
      </w:r>
      <w:r>
        <w:rPr>
          <w:rStyle w:val="12"/>
          <w:i/>
          <w:iCs/>
          <w:color w:val="auto"/>
        </w:rPr>
        <w:t>Figure 21: INTERNAL MONITORING OF PROJECTS LED BY HON. ABDUL HAKIM ANTWI- DCE</w:t>
      </w:r>
      <w:r>
        <w:rPr>
          <w:i/>
          <w:iCs/>
        </w:rPr>
        <w:tab/>
      </w:r>
      <w:r>
        <w:rPr>
          <w:i/>
          <w:iCs/>
        </w:rPr>
        <w:fldChar w:fldCharType="begin"/>
      </w:r>
      <w:r>
        <w:rPr>
          <w:i/>
          <w:iCs/>
        </w:rPr>
        <w:instrText xml:space="preserve"> PAGEREF _Toc229970889 \h </w:instrText>
      </w:r>
      <w:r>
        <w:rPr>
          <w:i/>
          <w:iCs/>
        </w:rPr>
        <w:fldChar w:fldCharType="separate"/>
      </w:r>
      <w:r>
        <w:rPr>
          <w:i/>
          <w:iCs/>
        </w:rPr>
        <w:t>48</w:t>
      </w:r>
      <w:r>
        <w:rPr>
          <w:i/>
          <w:iCs/>
        </w:rPr>
        <w:fldChar w:fldCharType="end"/>
      </w:r>
      <w:r>
        <w:rPr>
          <w:i/>
          <w:iCs/>
        </w:rPr>
        <w:fldChar w:fldCharType="end"/>
      </w:r>
    </w:p>
    <w:p w14:paraId="2AECF2EF">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"_Toc229970890" </w:instrText>
      </w:r>
      <w:r>
        <w:fldChar w:fldCharType="separate"/>
      </w:r>
      <w:r>
        <w:rPr>
          <w:rStyle w:val="12"/>
          <w:i/>
          <w:iCs/>
          <w:color w:val="auto"/>
        </w:rPr>
        <w:t>Figure 22: SENSITIZATION OF DISASTER VOLUNTEER GROUPS (DVGS) ON SAFETY PROTOCOLS</w:t>
      </w:r>
      <w:r>
        <w:rPr>
          <w:i/>
          <w:iCs/>
        </w:rPr>
        <w:tab/>
      </w:r>
      <w:r>
        <w:rPr>
          <w:i/>
          <w:iCs/>
        </w:rPr>
        <w:fldChar w:fldCharType="begin"/>
      </w:r>
      <w:r>
        <w:rPr>
          <w:i/>
          <w:iCs/>
        </w:rPr>
        <w:instrText xml:space="preserve"> PAGEREF _Toc229970890 \h </w:instrText>
      </w:r>
      <w:r>
        <w:rPr>
          <w:i/>
          <w:iCs/>
        </w:rPr>
        <w:fldChar w:fldCharType="separate"/>
      </w:r>
      <w:r>
        <w:rPr>
          <w:i/>
          <w:iCs/>
        </w:rPr>
        <w:t>49</w:t>
      </w:r>
      <w:r>
        <w:rPr>
          <w:i/>
          <w:iCs/>
        </w:rPr>
        <w:fldChar w:fldCharType="end"/>
      </w:r>
      <w:r>
        <w:rPr>
          <w:i/>
          <w:iCs/>
        </w:rPr>
        <w:fldChar w:fldCharType="end"/>
      </w:r>
    </w:p>
    <w:p w14:paraId="5F307A23">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"_Toc229970891" </w:instrText>
      </w:r>
      <w:r>
        <w:fldChar w:fldCharType="separate"/>
      </w:r>
      <w:r>
        <w:rPr>
          <w:rStyle w:val="12"/>
          <w:i/>
          <w:iCs/>
          <w:color w:val="auto"/>
        </w:rPr>
        <w:t>Figure 23: DISTRIBUTION OF RELIEF ITEMS TO DISASTER VICTIMS IN THE DISTRICT</w:t>
      </w:r>
      <w:r>
        <w:rPr>
          <w:i/>
          <w:iCs/>
        </w:rPr>
        <w:tab/>
      </w:r>
      <w:r>
        <w:rPr>
          <w:i/>
          <w:iCs/>
        </w:rPr>
        <w:fldChar w:fldCharType="begin"/>
      </w:r>
      <w:r>
        <w:rPr>
          <w:i/>
          <w:iCs/>
        </w:rPr>
        <w:instrText xml:space="preserve"> PAGEREF _Toc229970891 \h </w:instrText>
      </w:r>
      <w:r>
        <w:rPr>
          <w:i/>
          <w:iCs/>
        </w:rPr>
        <w:fldChar w:fldCharType="separate"/>
      </w:r>
      <w:r>
        <w:rPr>
          <w:i/>
          <w:iCs/>
        </w:rPr>
        <w:t>49</w:t>
      </w:r>
      <w:r>
        <w:rPr>
          <w:i/>
          <w:iCs/>
        </w:rPr>
        <w:fldChar w:fldCharType="end"/>
      </w:r>
      <w:r>
        <w:rPr>
          <w:i/>
          <w:iCs/>
        </w:rPr>
        <w:fldChar w:fldCharType="end"/>
      </w:r>
    </w:p>
    <w:p w14:paraId="61CA7D36">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"_Toc229970892" </w:instrText>
      </w:r>
      <w:r>
        <w:fldChar w:fldCharType="separate"/>
      </w:r>
      <w:r>
        <w:rPr>
          <w:rStyle w:val="12"/>
          <w:i/>
          <w:iCs/>
          <w:color w:val="auto"/>
        </w:rPr>
        <w:t>Figure 24: FOLLOW-UP VISITS TO COCOA FARMING COMMUNITIES</w:t>
      </w:r>
      <w:r>
        <w:rPr>
          <w:i/>
          <w:iCs/>
        </w:rPr>
        <w:tab/>
      </w:r>
      <w:r>
        <w:rPr>
          <w:i/>
          <w:iCs/>
        </w:rPr>
        <w:fldChar w:fldCharType="begin"/>
      </w:r>
      <w:r>
        <w:rPr>
          <w:i/>
          <w:iCs/>
        </w:rPr>
        <w:instrText xml:space="preserve"> PAGEREF _Toc229970892 \h </w:instrText>
      </w:r>
      <w:r>
        <w:rPr>
          <w:i/>
          <w:iCs/>
        </w:rPr>
        <w:fldChar w:fldCharType="separate"/>
      </w:r>
      <w:r>
        <w:rPr>
          <w:i/>
          <w:iCs/>
        </w:rPr>
        <w:t>50</w:t>
      </w:r>
      <w:r>
        <w:rPr>
          <w:i/>
          <w:iCs/>
        </w:rPr>
        <w:fldChar w:fldCharType="end"/>
      </w:r>
      <w:r>
        <w:rPr>
          <w:i/>
          <w:iCs/>
        </w:rPr>
        <w:fldChar w:fldCharType="end"/>
      </w:r>
    </w:p>
    <w:p w14:paraId="30325B0F">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"_Toc229970893" </w:instrText>
      </w:r>
      <w:r>
        <w:fldChar w:fldCharType="separate"/>
      </w:r>
      <w:r>
        <w:rPr>
          <w:rStyle w:val="12"/>
          <w:i/>
          <w:iCs/>
          <w:color w:val="auto"/>
        </w:rPr>
        <w:t>Figure 25: STATUS OF IMPLEMENTATION OF PHYSICAL PROJECTS</w:t>
      </w:r>
      <w:r>
        <w:rPr>
          <w:i/>
          <w:iCs/>
        </w:rPr>
        <w:tab/>
      </w:r>
      <w:r>
        <w:rPr>
          <w:i/>
          <w:iCs/>
        </w:rPr>
        <w:fldChar w:fldCharType="begin"/>
      </w:r>
      <w:r>
        <w:rPr>
          <w:i/>
          <w:iCs/>
        </w:rPr>
        <w:instrText xml:space="preserve"> PAGEREF _Toc229970893 \h </w:instrText>
      </w:r>
      <w:r>
        <w:rPr>
          <w:i/>
          <w:iCs/>
        </w:rPr>
        <w:fldChar w:fldCharType="separate"/>
      </w:r>
      <w:r>
        <w:rPr>
          <w:i/>
          <w:iCs/>
        </w:rPr>
        <w:t>57</w:t>
      </w:r>
      <w:r>
        <w:rPr>
          <w:i/>
          <w:iCs/>
        </w:rPr>
        <w:fldChar w:fldCharType="end"/>
      </w:r>
      <w:r>
        <w:rPr>
          <w:i/>
          <w:iCs/>
        </w:rPr>
        <w:fldChar w:fldCharType="end"/>
      </w:r>
    </w:p>
    <w:p w14:paraId="16DC0B25">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"_Toc229970894" </w:instrText>
      </w:r>
      <w:r>
        <w:fldChar w:fldCharType="separate"/>
      </w:r>
      <w:r>
        <w:rPr>
          <w:rStyle w:val="12"/>
          <w:rFonts w:ascii="Times New Roman" w:hAnsi="Times New Roman" w:eastAsia="Times New Roman" w:cs="Times New Roman"/>
          <w:i/>
          <w:iCs/>
          <w:color w:val="auto"/>
        </w:rPr>
        <w:t>Figure 28: UPDATE ON REVENUE INFLOW OF THE ASSEMBLY</w:t>
      </w:r>
      <w:r>
        <w:rPr>
          <w:i/>
          <w:iCs/>
        </w:rPr>
        <w:tab/>
      </w:r>
      <w:r>
        <w:rPr>
          <w:i/>
          <w:iCs/>
        </w:rPr>
        <w:fldChar w:fldCharType="begin"/>
      </w:r>
      <w:r>
        <w:rPr>
          <w:i/>
          <w:iCs/>
        </w:rPr>
        <w:instrText xml:space="preserve"> PAGEREF _Toc229970894 \h </w:instrText>
      </w:r>
      <w:r>
        <w:rPr>
          <w:i/>
          <w:iCs/>
        </w:rPr>
        <w:fldChar w:fldCharType="separate"/>
      </w:r>
      <w:r>
        <w:rPr>
          <w:i/>
          <w:iCs/>
        </w:rPr>
        <w:t>60</w:t>
      </w:r>
      <w:r>
        <w:rPr>
          <w:i/>
          <w:iCs/>
        </w:rPr>
        <w:fldChar w:fldCharType="end"/>
      </w:r>
      <w:r>
        <w:rPr>
          <w:i/>
          <w:iCs/>
        </w:rPr>
        <w:fldChar w:fldCharType="end"/>
      </w:r>
    </w:p>
    <w:p w14:paraId="12A442DE">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"_Toc229970895" </w:instrText>
      </w:r>
      <w:r>
        <w:fldChar w:fldCharType="separate"/>
      </w:r>
      <w:r>
        <w:rPr>
          <w:rStyle w:val="12"/>
          <w:i/>
          <w:iCs/>
          <w:color w:val="auto"/>
        </w:rPr>
        <w:t>Figure 29: INTRODUCTION AND INAUGURATION OF BLUE WATER GUARD</w:t>
      </w:r>
      <w:r>
        <w:rPr>
          <w:i/>
          <w:iCs/>
        </w:rPr>
        <w:tab/>
      </w:r>
      <w:r>
        <w:rPr>
          <w:i/>
          <w:iCs/>
        </w:rPr>
        <w:fldChar w:fldCharType="begin"/>
      </w:r>
      <w:r>
        <w:rPr>
          <w:i/>
          <w:iCs/>
        </w:rPr>
        <w:instrText xml:space="preserve"> PAGEREF _Toc229970895 \h </w:instrText>
      </w:r>
      <w:r>
        <w:rPr>
          <w:i/>
          <w:iCs/>
        </w:rPr>
        <w:fldChar w:fldCharType="separate"/>
      </w:r>
      <w:r>
        <w:rPr>
          <w:i/>
          <w:iCs/>
        </w:rPr>
        <w:t>79</w:t>
      </w:r>
      <w:r>
        <w:rPr>
          <w:i/>
          <w:iCs/>
        </w:rPr>
        <w:fldChar w:fldCharType="end"/>
      </w:r>
      <w:r>
        <w:rPr>
          <w:i/>
          <w:iCs/>
        </w:rPr>
        <w:fldChar w:fldCharType="end"/>
      </w:r>
    </w:p>
    <w:p w14:paraId="42A5E982">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"_Toc229970896" </w:instrText>
      </w:r>
      <w:r>
        <w:fldChar w:fldCharType="separate"/>
      </w:r>
      <w:r>
        <w:rPr>
          <w:rStyle w:val="12"/>
          <w:i/>
          <w:iCs/>
          <w:color w:val="auto"/>
        </w:rPr>
        <w:t>Figure 30: DONATION OF VEHICLE IN SUPPORT OF BLUE WATER GUARD OPERATIONS</w:t>
      </w:r>
      <w:r>
        <w:rPr>
          <w:i/>
          <w:iCs/>
        </w:rPr>
        <w:tab/>
      </w:r>
      <w:r>
        <w:rPr>
          <w:i/>
          <w:iCs/>
        </w:rPr>
        <w:fldChar w:fldCharType="begin"/>
      </w:r>
      <w:r>
        <w:rPr>
          <w:i/>
          <w:iCs/>
        </w:rPr>
        <w:instrText xml:space="preserve"> PAGEREF _Toc229970896 \h </w:instrText>
      </w:r>
      <w:r>
        <w:rPr>
          <w:i/>
          <w:iCs/>
        </w:rPr>
        <w:fldChar w:fldCharType="separate"/>
      </w:r>
      <w:r>
        <w:rPr>
          <w:i/>
          <w:iCs/>
        </w:rPr>
        <w:t>80</w:t>
      </w:r>
      <w:r>
        <w:rPr>
          <w:i/>
          <w:iCs/>
        </w:rPr>
        <w:fldChar w:fldCharType="end"/>
      </w:r>
      <w:r>
        <w:rPr>
          <w:i/>
          <w:iCs/>
        </w:rPr>
        <w:fldChar w:fldCharType="end"/>
      </w:r>
    </w:p>
    <w:p w14:paraId="71FBF62B">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"_Toc229970897" </w:instrText>
      </w:r>
      <w:r>
        <w:fldChar w:fldCharType="separate"/>
      </w:r>
      <w:r>
        <w:rPr>
          <w:rStyle w:val="12"/>
          <w:i/>
          <w:iCs/>
          <w:color w:val="auto"/>
        </w:rPr>
        <w:t>Figure 31: DISTRIBUTION OF LEARNING KITS UNDER THE NATIONAL APPRENTICESHIP PROGRAM (NAP)</w:t>
      </w:r>
      <w:r>
        <w:rPr>
          <w:i/>
          <w:iCs/>
        </w:rPr>
        <w:tab/>
      </w:r>
      <w:r>
        <w:rPr>
          <w:i/>
          <w:iCs/>
        </w:rPr>
        <w:fldChar w:fldCharType="begin"/>
      </w:r>
      <w:r>
        <w:rPr>
          <w:i/>
          <w:iCs/>
        </w:rPr>
        <w:instrText xml:space="preserve"> PAGEREF _Toc229970897 \h </w:instrText>
      </w:r>
      <w:r>
        <w:rPr>
          <w:i/>
          <w:iCs/>
        </w:rPr>
        <w:fldChar w:fldCharType="separate"/>
      </w:r>
      <w:r>
        <w:rPr>
          <w:i/>
          <w:iCs/>
        </w:rPr>
        <w:t>80</w:t>
      </w:r>
      <w:r>
        <w:rPr>
          <w:i/>
          <w:iCs/>
        </w:rPr>
        <w:fldChar w:fldCharType="end"/>
      </w:r>
      <w:r>
        <w:rPr>
          <w:i/>
          <w:iCs/>
        </w:rPr>
        <w:fldChar w:fldCharType="end"/>
      </w:r>
    </w:p>
    <w:p w14:paraId="6A1FB692">
      <w:pPr>
        <w:pStyle w:val="17"/>
        <w:tabs>
          <w:tab w:val="right" w:leader="dot" w:pos="10790"/>
        </w:tabs>
        <w:spacing w:line="360" w:lineRule="auto"/>
        <w:rPr>
          <w:rFonts w:eastAsiaTheme="minorEastAsia"/>
          <w:i/>
          <w:iCs/>
          <w:kern w:val="2"/>
          <w:sz w:val="24"/>
          <w:szCs w:val="24"/>
          <w14:ligatures w14:val="standardContextual"/>
        </w:rPr>
      </w:pPr>
      <w:r>
        <w:fldChar w:fldCharType="begin"/>
      </w:r>
      <w:r>
        <w:instrText xml:space="preserve"> HYPERLINK \l "_Toc229970898" </w:instrText>
      </w:r>
      <w:r>
        <w:fldChar w:fldCharType="separate"/>
      </w:r>
      <w:r>
        <w:rPr>
          <w:rStyle w:val="12"/>
          <w:i/>
          <w:iCs/>
          <w:color w:val="auto"/>
        </w:rPr>
        <w:t>Figure 32: DISTRIBUTION OF CHICKS UNDER THE NKOKO NKITINKITI PROGRAMME</w:t>
      </w:r>
      <w:r>
        <w:rPr>
          <w:i/>
          <w:iCs/>
        </w:rPr>
        <w:tab/>
      </w:r>
      <w:r>
        <w:rPr>
          <w:i/>
          <w:iCs/>
        </w:rPr>
        <w:fldChar w:fldCharType="begin"/>
      </w:r>
      <w:r>
        <w:rPr>
          <w:i/>
          <w:iCs/>
        </w:rPr>
        <w:instrText xml:space="preserve"> PAGEREF _Toc229970898 \h </w:instrText>
      </w:r>
      <w:r>
        <w:rPr>
          <w:i/>
          <w:iCs/>
        </w:rPr>
        <w:fldChar w:fldCharType="separate"/>
      </w:r>
      <w:r>
        <w:rPr>
          <w:i/>
          <w:iCs/>
        </w:rPr>
        <w:t>81</w:t>
      </w:r>
      <w:r>
        <w:rPr>
          <w:i/>
          <w:iCs/>
        </w:rPr>
        <w:fldChar w:fldCharType="end"/>
      </w:r>
      <w:r>
        <w:rPr>
          <w:i/>
          <w:iCs/>
        </w:rPr>
        <w:fldChar w:fldCharType="end"/>
      </w:r>
    </w:p>
    <w:p w14:paraId="46833073">
      <w:pPr>
        <w:pStyle w:val="2"/>
        <w:jc w:val="center"/>
        <w:rPr>
          <w:b w:val="0"/>
          <w:i/>
          <w:iCs/>
        </w:rPr>
        <w:sectPr>
          <w:footerReference r:id="rId5" w:type="default"/>
          <w:pgSz w:w="12240" w:h="15840"/>
          <w:pgMar w:top="720" w:right="720" w:bottom="720" w:left="720" w:header="720" w:footer="720" w:gutter="0"/>
          <w:pgNumType w:fmt="lowerRoman" w:start="1"/>
          <w:cols w:space="720" w:num="1"/>
          <w:docGrid w:linePitch="360" w:charSpace="0"/>
        </w:sectPr>
      </w:pPr>
      <w:r>
        <w:rPr>
          <w:b w:val="0"/>
          <w:i/>
          <w:iCs/>
        </w:rPr>
        <w:fldChar w:fldCharType="end"/>
      </w:r>
    </w:p>
    <w:p w14:paraId="001C3C78">
      <w:pPr>
        <w:pStyle w:val="2"/>
        <w:jc w:val="center"/>
      </w:pPr>
      <w:bookmarkStart w:id="3" w:name="_Toc230260713"/>
      <w:r>
        <w:t>CHAPTER ONE</w:t>
      </w:r>
      <w:bookmarkEnd w:id="0"/>
      <w:bookmarkEnd w:id="3"/>
    </w:p>
    <w:p w14:paraId="56487C7E">
      <w:pPr>
        <w:pStyle w:val="2"/>
      </w:pPr>
      <w:bookmarkStart w:id="4" w:name="_Toc173321161"/>
      <w:bookmarkStart w:id="5" w:name="_Toc230260714"/>
      <w:bookmarkStart w:id="6" w:name="_Toc222333852"/>
      <w:bookmarkStart w:id="7" w:name="_Toc189219075"/>
      <w:r>
        <w:t>1.0 INTRODUCTION</w:t>
      </w:r>
      <w:bookmarkEnd w:id="4"/>
      <w:bookmarkEnd w:id="5"/>
      <w:bookmarkEnd w:id="6"/>
      <w:bookmarkEnd w:id="7"/>
    </w:p>
    <w:p w14:paraId="35DCD0C2">
      <w:pPr>
        <w:spacing w:line="360" w:lineRule="auto"/>
        <w:jc w:val="both"/>
        <w:rPr>
          <w:rFonts w:ascii="Times New Roman" w:hAnsi="Times New Roman" w:cs="Times New Roman"/>
          <w:sz w:val="24"/>
          <w:szCs w:val="24"/>
        </w:rPr>
      </w:pPr>
      <w:bookmarkStart w:id="8" w:name="_Toc157636375"/>
      <w:bookmarkStart w:id="9" w:name="_Toc189219076"/>
      <w:bookmarkStart w:id="10" w:name="_Toc173321162"/>
      <w:r>
        <w:rPr>
          <w:rFonts w:ascii="Times New Roman" w:hAnsi="Times New Roman" w:cs="Times New Roman"/>
          <w:sz w:val="24"/>
          <w:szCs w:val="24"/>
        </w:rPr>
        <w:t>The Government of Ghana continues to pursue policies and programmes aimed at promoting sustainable socio-economic growth, improving public service delivery, and enhancing the living conditions of citizens. Central to this national development agenda is the implementation of strategic interventions focused on economic transformation, job creation, social inclusion, infrastructure development, environmental sustainability, and improved governance systems. These policy directions provide the framework within which Metropolitan, Municipal, and District Assemblies (MMDAs) prepare and implement their Medium-Term Development Plans (MTDPs) in alignment with national development priorities and the Sustainable Development Goals (SDGs).</w:t>
      </w:r>
    </w:p>
    <w:p w14:paraId="73416250">
      <w:pPr>
        <w:spacing w:line="360" w:lineRule="auto"/>
        <w:jc w:val="both"/>
        <w:rPr>
          <w:rFonts w:ascii="Times New Roman" w:hAnsi="Times New Roman" w:cs="Times New Roman"/>
          <w:sz w:val="24"/>
          <w:szCs w:val="24"/>
        </w:rPr>
      </w:pPr>
      <w:r>
        <w:rPr>
          <w:rFonts w:ascii="Times New Roman" w:hAnsi="Times New Roman" w:cs="Times New Roman"/>
          <w:sz w:val="24"/>
          <w:szCs w:val="24"/>
        </w:rPr>
        <w:t>In accordance with the requirements of Legislative Instrument (L.I.) 2232, particularly Regulations 8(3) and 10, all MMDAs are mandated to prepare Quarterly and Annual Progress Reports to monitor and evaluate the implementation of their development plans. These reports serve as important management and accountability tools that provide information on the status of projects and programmes, progress made toward achieving planned targets, challenges encountered during implementation, and measures adopted to address identified gaps.</w:t>
      </w:r>
    </w:p>
    <w:p w14:paraId="2E658D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Birim North District Assembly prepared its 2026–2029 Medium-Term Development Plan in line with the Medium-Term National Development Policy Framework themed </w:t>
      </w:r>
      <w:r>
        <w:rPr>
          <w:rFonts w:ascii="Times New Roman" w:hAnsi="Times New Roman" w:cs="Times New Roman"/>
          <w:i/>
          <w:iCs/>
          <w:sz w:val="24"/>
          <w:szCs w:val="24"/>
        </w:rPr>
        <w:t>“Resetting Ghana: Creating Jobs, Ensuring Accountability, and Promoting Shared Prosperity.”</w:t>
      </w:r>
      <w:r>
        <w:rPr>
          <w:rFonts w:ascii="Times New Roman" w:hAnsi="Times New Roman" w:cs="Times New Roman"/>
          <w:sz w:val="24"/>
          <w:szCs w:val="24"/>
        </w:rPr>
        <w:t xml:space="preserve"> The Plan outlines the Assembly’s development priorities and strategies across key thematic areas such as economic development, social services delivery, environmental management, infrastructure development, governance and accountability, disaster preparedness, and institutional strengthening.</w:t>
      </w:r>
    </w:p>
    <w:p w14:paraId="09046D7D">
      <w:pPr>
        <w:spacing w:line="360" w:lineRule="auto"/>
        <w:jc w:val="both"/>
        <w:rPr>
          <w:rFonts w:ascii="Times New Roman" w:hAnsi="Times New Roman" w:cs="Times New Roman"/>
          <w:sz w:val="24"/>
          <w:szCs w:val="24"/>
        </w:rPr>
      </w:pPr>
      <w:r>
        <w:rPr>
          <w:rFonts w:ascii="Times New Roman" w:hAnsi="Times New Roman" w:cs="Times New Roman"/>
          <w:sz w:val="24"/>
          <w:szCs w:val="24"/>
        </w:rPr>
        <w:t>This First Quarter Progress Report forms part of the Assembly’s statutory monitoring and reporting obligations and provides an assessment of the implementation status of programmes, projects, and activities undertaken during the period under review. The report also evaluates the extent to which financial and material resources were mobilized and utilized to support the achievement of planned objectives and targets.</w:t>
      </w:r>
    </w:p>
    <w:p w14:paraId="09E91AB2">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Quarter of 2026 marked the commencement of the implementation of the Assembly’s 2026–2029 Medium-Term Development Plan. During the quarter, the Assembly implemented a number of interventions consistent with its 2026 Annual Action Plan, focusing on improving infrastructure, enhancing social service delivery, strengthening local economic development, and promoting the welfare of communities within the district.</w:t>
      </w:r>
    </w:p>
    <w:p w14:paraId="4EB1E0AD">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provides a comprehensive account of the Assembly’s performance during the reporting period and serves as a basis for informed decision-making, improved planning, and effective monitoring of development interventions aimed at improving the socio-economic well-being of the people within the District.</w:t>
      </w:r>
    </w:p>
    <w:p w14:paraId="190527AA">
      <w:pPr>
        <w:pStyle w:val="3"/>
        <w:spacing w:before="240" w:after="240" w:line="360" w:lineRule="auto"/>
        <w:rPr>
          <w:rFonts w:ascii="Times New Roman" w:hAnsi="Times New Roman" w:cs="Times New Roman"/>
          <w:b/>
          <w:color w:val="auto"/>
          <w:sz w:val="24"/>
          <w:szCs w:val="24"/>
        </w:rPr>
      </w:pPr>
      <w:bookmarkStart w:id="11" w:name="_Toc222333853"/>
      <w:bookmarkStart w:id="12" w:name="_Toc230260715"/>
      <w:r>
        <w:rPr>
          <w:rFonts w:ascii="Times New Roman" w:hAnsi="Times New Roman" w:cs="Times New Roman"/>
          <w:b/>
          <w:color w:val="auto"/>
          <w:sz w:val="24"/>
          <w:szCs w:val="24"/>
        </w:rPr>
        <w:t xml:space="preserve">1.2 Purpose of Monitoring and Evaluation for </w:t>
      </w:r>
      <w:bookmarkEnd w:id="8"/>
      <w:r>
        <w:rPr>
          <w:rFonts w:ascii="Times New Roman" w:hAnsi="Times New Roman" w:cs="Times New Roman"/>
          <w:b/>
          <w:color w:val="auto"/>
          <w:sz w:val="24"/>
          <w:szCs w:val="24"/>
        </w:rPr>
        <w:t>First Quarter 202</w:t>
      </w:r>
      <w:bookmarkEnd w:id="9"/>
      <w:bookmarkEnd w:id="10"/>
      <w:bookmarkEnd w:id="11"/>
      <w:r>
        <w:rPr>
          <w:rFonts w:ascii="Times New Roman" w:hAnsi="Times New Roman" w:cs="Times New Roman"/>
          <w:b/>
          <w:color w:val="auto"/>
          <w:sz w:val="24"/>
          <w:szCs w:val="24"/>
        </w:rPr>
        <w:t>6</w:t>
      </w:r>
      <w:bookmarkEnd w:id="12"/>
    </w:p>
    <w:p w14:paraId="75CF5DED">
      <w:pPr>
        <w:spacing w:line="360" w:lineRule="auto"/>
        <w:jc w:val="both"/>
        <w:rPr>
          <w:rFonts w:ascii="Times New Roman" w:hAnsi="Times New Roman" w:cs="Times New Roman"/>
          <w:sz w:val="24"/>
          <w:szCs w:val="24"/>
        </w:rPr>
      </w:pPr>
      <w:bookmarkStart w:id="13" w:name="_Toc173321163"/>
      <w:bookmarkStart w:id="14" w:name="_Toc157636376"/>
      <w:bookmarkStart w:id="15" w:name="_Toc189219077"/>
      <w:r>
        <w:rPr>
          <w:rFonts w:ascii="Times New Roman" w:hAnsi="Times New Roman" w:cs="Times New Roman"/>
          <w:sz w:val="24"/>
          <w:szCs w:val="24"/>
        </w:rPr>
        <w:t>During the First Quarter of 2026, the Birim North District Assembly undertook a series of Monitoring and Evaluation (M&amp;E) activities aimed at tracking the implementation of programmes, projects, and activities outlined in the 2026 Annual Action Plan and the newly commenced 2026–2029 Medium-Term Development Plan (MTDP). The M&amp;E activities were conducted in accordance with the Assembly’s monitoring framework and implementation schedules to ensure effective coordination, accountability, and performance assessment across all sectors.</w:t>
      </w:r>
    </w:p>
    <w:p w14:paraId="2F533DA4">
      <w:pPr>
        <w:spacing w:line="360" w:lineRule="auto"/>
        <w:jc w:val="both"/>
        <w:rPr>
          <w:rFonts w:ascii="Times New Roman" w:hAnsi="Times New Roman" w:cs="Times New Roman"/>
          <w:sz w:val="24"/>
          <w:szCs w:val="24"/>
        </w:rPr>
      </w:pPr>
      <w:r>
        <w:rPr>
          <w:rFonts w:ascii="Times New Roman" w:hAnsi="Times New Roman" w:cs="Times New Roman"/>
          <w:sz w:val="24"/>
          <w:szCs w:val="24"/>
        </w:rPr>
        <w:t>The Monitoring and Evaluation exercise for the reporting period was intended to achieve the following objectives:</w:t>
      </w:r>
    </w:p>
    <w:p w14:paraId="27708FD3">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Generate Data for Decision-Making</w:t>
      </w:r>
    </w:p>
    <w:p w14:paraId="244A63ED">
      <w:pPr>
        <w:spacing w:line="360" w:lineRule="auto"/>
        <w:jc w:val="both"/>
        <w:rPr>
          <w:rFonts w:ascii="Times New Roman" w:hAnsi="Times New Roman" w:cs="Times New Roman"/>
          <w:sz w:val="24"/>
          <w:szCs w:val="24"/>
        </w:rPr>
      </w:pPr>
      <w:r>
        <w:rPr>
          <w:rFonts w:ascii="Times New Roman" w:hAnsi="Times New Roman" w:cs="Times New Roman"/>
          <w:sz w:val="24"/>
          <w:szCs w:val="24"/>
        </w:rPr>
        <w:t>To collect, update, and analyze data on key performance indicators, targets, and emerging development issues to support evidence-based planning, informed decision-making, and effective management of development interventions.</w:t>
      </w:r>
    </w:p>
    <w:p w14:paraId="54E83F82">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Enhance Accountability and Transparency</w:t>
      </w:r>
    </w:p>
    <w:p w14:paraId="6CD931D8">
      <w:pPr>
        <w:spacing w:line="360" w:lineRule="auto"/>
        <w:jc w:val="both"/>
        <w:rPr>
          <w:rFonts w:ascii="Times New Roman" w:hAnsi="Times New Roman" w:cs="Times New Roman"/>
          <w:sz w:val="24"/>
          <w:szCs w:val="24"/>
        </w:rPr>
      </w:pPr>
      <w:r>
        <w:rPr>
          <w:rFonts w:ascii="Times New Roman" w:hAnsi="Times New Roman" w:cs="Times New Roman"/>
          <w:sz w:val="24"/>
          <w:szCs w:val="24"/>
        </w:rPr>
        <w:t>To strengthen accountability in the utilization of public resources by monitoring the use of funds, tracking outputs and outcomes, and ensuring that projects and programmes deliver the intended benefits to communities.</w:t>
      </w:r>
    </w:p>
    <w:p w14:paraId="635A2094">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Assess Project and Programme Implementation</w:t>
      </w:r>
    </w:p>
    <w:p w14:paraId="13A0CA60">
      <w:pPr>
        <w:spacing w:line="360" w:lineRule="auto"/>
        <w:jc w:val="both"/>
        <w:rPr>
          <w:rFonts w:ascii="Times New Roman" w:hAnsi="Times New Roman" w:cs="Times New Roman"/>
          <w:sz w:val="24"/>
          <w:szCs w:val="24"/>
        </w:rPr>
      </w:pPr>
      <w:r>
        <w:rPr>
          <w:rFonts w:ascii="Times New Roman" w:hAnsi="Times New Roman" w:cs="Times New Roman"/>
          <w:sz w:val="24"/>
          <w:szCs w:val="24"/>
        </w:rPr>
        <w:t>To monitor the progress of ongoing and newly initiated projects and programmes, assess their implementation status, and validate field findings to ensure that interventions are being executed according to approved plans, specifications, and timelines.</w:t>
      </w:r>
    </w:p>
    <w:p w14:paraId="1A807AFA">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Support Learning and Stakeholder Participation</w:t>
      </w:r>
      <w:r>
        <w:rPr>
          <w:rFonts w:ascii="Times New Roman" w:hAnsi="Times New Roman" w:cs="Times New Roman"/>
          <w:sz w:val="24"/>
          <w:szCs w:val="24"/>
        </w:rPr>
        <w:t xml:space="preserve"> </w:t>
      </w:r>
    </w:p>
    <w:p w14:paraId="4DFA81D7">
      <w:pPr>
        <w:spacing w:line="360" w:lineRule="auto"/>
        <w:jc w:val="both"/>
        <w:rPr>
          <w:rFonts w:ascii="Times New Roman" w:hAnsi="Times New Roman" w:cs="Times New Roman"/>
          <w:sz w:val="24"/>
          <w:szCs w:val="24"/>
        </w:rPr>
      </w:pPr>
      <w:r>
        <w:rPr>
          <w:rFonts w:ascii="Times New Roman" w:hAnsi="Times New Roman" w:cs="Times New Roman"/>
          <w:sz w:val="24"/>
          <w:szCs w:val="24"/>
        </w:rPr>
        <w:t>To facilitate feedback, document lessons learned, and encourage active stakeholder participation in the development process through consultations, field monitoring, and engagement with beneficiary communities and implementing departments.</w:t>
      </w:r>
    </w:p>
    <w:p w14:paraId="1E53F7B7">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Identify Challenges and Recommend Corrective Measures</w:t>
      </w:r>
    </w:p>
    <w:p w14:paraId="1652DC75">
      <w:pPr>
        <w:spacing w:line="360" w:lineRule="auto"/>
        <w:jc w:val="both"/>
        <w:rPr>
          <w:rFonts w:ascii="Times New Roman" w:hAnsi="Times New Roman" w:cs="Times New Roman"/>
          <w:sz w:val="24"/>
          <w:szCs w:val="24"/>
        </w:rPr>
      </w:pPr>
      <w:r>
        <w:rPr>
          <w:rFonts w:ascii="Times New Roman" w:hAnsi="Times New Roman" w:cs="Times New Roman"/>
          <w:sz w:val="24"/>
          <w:szCs w:val="24"/>
        </w:rPr>
        <w:t>To identify implementation bottlenecks, operational constraints, and performance gaps affecting project execution and service delivery, and provide practical recommendations for corrective actions and improved implementation.</w:t>
      </w:r>
    </w:p>
    <w:p w14:paraId="03E03818">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Improve Future Planning and Service Delivery</w:t>
      </w:r>
    </w:p>
    <w:p w14:paraId="4BD49E0D">
      <w:pPr>
        <w:spacing w:line="360" w:lineRule="auto"/>
        <w:jc w:val="both"/>
        <w:rPr>
          <w:rFonts w:ascii="Times New Roman" w:hAnsi="Times New Roman" w:cs="Times New Roman"/>
          <w:sz w:val="24"/>
          <w:szCs w:val="24"/>
        </w:rPr>
      </w:pPr>
      <w:r>
        <w:rPr>
          <w:rFonts w:ascii="Times New Roman" w:hAnsi="Times New Roman" w:cs="Times New Roman"/>
          <w:sz w:val="24"/>
          <w:szCs w:val="24"/>
        </w:rPr>
        <w:t>To identify strengths, weaknesses, opportunities, and areas requiring improvement in order to enhance future planning, resource allocation, project implementation, and overall service delivery within the District.</w:t>
      </w:r>
    </w:p>
    <w:p w14:paraId="36C02E71">
      <w:pPr>
        <w:pStyle w:val="24"/>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Evaluate Development Impact</w:t>
      </w:r>
    </w:p>
    <w:p w14:paraId="05C2771A">
      <w:pPr>
        <w:spacing w:line="360" w:lineRule="auto"/>
        <w:jc w:val="both"/>
        <w:rPr>
          <w:rFonts w:ascii="Times New Roman" w:hAnsi="Times New Roman" w:cs="Times New Roman"/>
          <w:sz w:val="24"/>
          <w:szCs w:val="24"/>
        </w:rPr>
      </w:pPr>
      <w:r>
        <w:rPr>
          <w:rFonts w:ascii="Times New Roman" w:hAnsi="Times New Roman" w:cs="Times New Roman"/>
          <w:sz w:val="24"/>
          <w:szCs w:val="24"/>
        </w:rPr>
        <w:t>To assess the extent to which implemented interventions contribute toward the achievement of the District’s development objectives, particularly in improving socio-economic conditions, infrastructure delivery, and access to essential social services.</w:t>
      </w:r>
    </w:p>
    <w:p w14:paraId="105FCFF4">
      <w:pPr>
        <w:spacing w:line="360" w:lineRule="auto"/>
        <w:jc w:val="both"/>
        <w:rPr>
          <w:rFonts w:ascii="Times New Roman" w:hAnsi="Times New Roman" w:cs="Times New Roman"/>
          <w:sz w:val="24"/>
          <w:szCs w:val="24"/>
        </w:rPr>
      </w:pPr>
      <w:r>
        <w:rPr>
          <w:rFonts w:ascii="Times New Roman" w:hAnsi="Times New Roman" w:cs="Times New Roman"/>
          <w:sz w:val="24"/>
          <w:szCs w:val="24"/>
        </w:rPr>
        <w:t>The Monitoring and Evaluation activities conducted during the First Quarter of 2026 provided valuable information on the status of implementation of the Assembly’s programmes and projects and contributed significantly to performance assessment, accountability, and informed development management.</w:t>
      </w:r>
    </w:p>
    <w:p w14:paraId="46B97D43">
      <w:pPr>
        <w:pStyle w:val="3"/>
        <w:spacing w:before="240" w:after="240" w:line="360" w:lineRule="auto"/>
        <w:rPr>
          <w:rFonts w:ascii="Times New Roman" w:hAnsi="Times New Roman" w:cs="Times New Roman"/>
          <w:b/>
          <w:color w:val="auto"/>
          <w:sz w:val="24"/>
          <w:szCs w:val="24"/>
        </w:rPr>
      </w:pPr>
      <w:bookmarkStart w:id="16" w:name="_Toc230260716"/>
      <w:bookmarkStart w:id="17" w:name="_Toc222333854"/>
      <w:r>
        <w:rPr>
          <w:rFonts w:ascii="Times New Roman" w:hAnsi="Times New Roman" w:cs="Times New Roman"/>
          <w:b/>
          <w:color w:val="auto"/>
          <w:sz w:val="24"/>
          <w:szCs w:val="24"/>
        </w:rPr>
        <w:t>1.3 Processes Involved and Difficulties Encountered</w:t>
      </w:r>
      <w:bookmarkEnd w:id="13"/>
      <w:bookmarkEnd w:id="14"/>
      <w:bookmarkEnd w:id="15"/>
      <w:bookmarkEnd w:id="16"/>
      <w:bookmarkEnd w:id="17"/>
    </w:p>
    <w:p w14:paraId="550740F7">
      <w:pPr>
        <w:spacing w:line="360" w:lineRule="auto"/>
        <w:jc w:val="both"/>
        <w:rPr>
          <w:rFonts w:ascii="Times New Roman" w:hAnsi="Times New Roman" w:cs="Times New Roman"/>
          <w:sz w:val="24"/>
          <w:szCs w:val="24"/>
        </w:rPr>
      </w:pPr>
      <w:r>
        <w:rPr>
          <w:rFonts w:ascii="Times New Roman" w:hAnsi="Times New Roman" w:cs="Times New Roman"/>
          <w:sz w:val="24"/>
          <w:szCs w:val="24"/>
        </w:rPr>
        <w:t>This section presents an overview of the processes undertaken by the Birim North District Assembly in carrying out Monitoring and Evaluation (M&amp;E) activities during the First Quarter of 2026. It outlines the approaches adopted to monitor the implementation of projects and programmes under the 2026 Annual Action Plan and the commencement of the 2026–2029 Medium-Term Development Plan (MTDP). The section also highlights the major challenges encountered during the reporting period which affected implementation, coordination, and reporting processes.</w:t>
      </w:r>
    </w:p>
    <w:p w14:paraId="12542477">
      <w:pPr>
        <w:pStyle w:val="4"/>
        <w:spacing w:before="240" w:after="240" w:line="360" w:lineRule="auto"/>
        <w:rPr>
          <w:rFonts w:ascii="Times New Roman" w:hAnsi="Times New Roman" w:cs="Times New Roman"/>
          <w:b/>
          <w:bCs/>
          <w:color w:val="auto"/>
        </w:rPr>
      </w:pPr>
      <w:bookmarkStart w:id="18" w:name="_Toc230260717"/>
      <w:bookmarkStart w:id="19" w:name="_Toc222333855"/>
      <w:bookmarkStart w:id="20" w:name="_Toc173321165"/>
      <w:bookmarkStart w:id="21" w:name="_Toc189219079"/>
      <w:r>
        <w:rPr>
          <w:rFonts w:ascii="Times New Roman" w:hAnsi="Times New Roman" w:cs="Times New Roman"/>
          <w:b/>
          <w:bCs/>
          <w:color w:val="auto"/>
        </w:rPr>
        <w:t>1.3.1 Processes Involved</w:t>
      </w:r>
      <w:bookmarkEnd w:id="18"/>
      <w:bookmarkEnd w:id="19"/>
    </w:p>
    <w:p w14:paraId="0AEB565E">
      <w:pPr>
        <w:pStyle w:val="24"/>
        <w:numPr>
          <w:ilvl w:val="0"/>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Review of Monitoring and Evaluation Schedule</w:t>
      </w:r>
    </w:p>
    <w:p w14:paraId="5EF09C72">
      <w:pPr>
        <w:spacing w:line="360" w:lineRule="auto"/>
        <w:jc w:val="both"/>
        <w:rPr>
          <w:rFonts w:ascii="Times New Roman" w:hAnsi="Times New Roman" w:cs="Times New Roman"/>
          <w:b/>
          <w:bCs/>
          <w:sz w:val="24"/>
          <w:szCs w:val="24"/>
        </w:rPr>
      </w:pPr>
      <w:r>
        <w:rPr>
          <w:rFonts w:ascii="Times New Roman" w:hAnsi="Times New Roman" w:cs="Times New Roman"/>
          <w:sz w:val="24"/>
          <w:szCs w:val="24"/>
        </w:rPr>
        <w:t>The District Planning Coordinating Unit (DPCU) undertook a review of the Monitoring and Evaluation work plan and implementation schedule to identify key monitoring timelines and reporting requirements for the quarter. This ensured that M&amp;E activities were aligned with statutory reporting obligations and the implementation framework of the Assembly’s Medium-Term Development Plan.</w:t>
      </w:r>
    </w:p>
    <w:p w14:paraId="1C4A9E7D">
      <w:pPr>
        <w:pStyle w:val="24"/>
        <w:spacing w:line="360" w:lineRule="auto"/>
        <w:ind w:left="502"/>
        <w:jc w:val="both"/>
        <w:rPr>
          <w:rFonts w:ascii="Times New Roman" w:hAnsi="Times New Roman" w:cs="Times New Roman"/>
          <w:sz w:val="24"/>
          <w:szCs w:val="24"/>
        </w:rPr>
      </w:pPr>
    </w:p>
    <w:p w14:paraId="51F879CE">
      <w:pPr>
        <w:pStyle w:val="24"/>
        <w:spacing w:line="360" w:lineRule="auto"/>
        <w:ind w:left="502"/>
        <w:jc w:val="both"/>
        <w:rPr>
          <w:rFonts w:ascii="Times New Roman" w:hAnsi="Times New Roman" w:cs="Times New Roman"/>
          <w:sz w:val="24"/>
          <w:szCs w:val="24"/>
        </w:rPr>
      </w:pPr>
    </w:p>
    <w:p w14:paraId="4FAEB21B">
      <w:pPr>
        <w:pStyle w:val="24"/>
        <w:numPr>
          <w:ilvl w:val="0"/>
          <w:numId w:val="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Constitution of Monitoring Teams and Mobilization of Logistics</w:t>
      </w:r>
    </w:p>
    <w:p w14:paraId="7BF396D6">
      <w:pPr>
        <w:spacing w:line="360" w:lineRule="auto"/>
        <w:jc w:val="both"/>
        <w:rPr>
          <w:rFonts w:ascii="Times New Roman" w:hAnsi="Times New Roman" w:cs="Times New Roman"/>
          <w:sz w:val="24"/>
          <w:szCs w:val="24"/>
        </w:rPr>
      </w:pPr>
      <w:r>
        <w:rPr>
          <w:rFonts w:ascii="Times New Roman" w:hAnsi="Times New Roman" w:cs="Times New Roman"/>
          <w:sz w:val="24"/>
          <w:szCs w:val="24"/>
        </w:rPr>
        <w:t>Monitoring teams comprising members of the DPCU, and other relevant stakeholders were constituted to undertake project inspections and data collection activities. Necessary logistics and resources were also mobilized to facilitate effective field monitoring and supervision.</w:t>
      </w:r>
    </w:p>
    <w:p w14:paraId="4AEE9890">
      <w:pPr>
        <w:pStyle w:val="24"/>
        <w:numPr>
          <w:ilvl w:val="0"/>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Stakeholder Consultations and Community Engagements</w:t>
      </w:r>
    </w:p>
    <w:p w14:paraId="3E5F99DD">
      <w:pPr>
        <w:spacing w:line="360" w:lineRule="auto"/>
        <w:jc w:val="both"/>
        <w:rPr>
          <w:rFonts w:ascii="Times New Roman" w:hAnsi="Times New Roman" w:cs="Times New Roman"/>
          <w:sz w:val="24"/>
          <w:szCs w:val="24"/>
        </w:rPr>
      </w:pPr>
      <w:r>
        <w:rPr>
          <w:rFonts w:ascii="Times New Roman" w:hAnsi="Times New Roman" w:cs="Times New Roman"/>
          <w:sz w:val="24"/>
          <w:szCs w:val="24"/>
        </w:rPr>
        <w:t>Consultative meetings and field engagements were organized with key stakeholders, including Traditional Authorities, Assembly Members, Unit Committee Members, beneficiary communities, and project implementation teams. These engagements provided opportunities to gather feedback, discuss implementation challenges, and assess the impact of ongoing interventions.</w:t>
      </w:r>
    </w:p>
    <w:p w14:paraId="749E8D0C">
      <w:pPr>
        <w:pStyle w:val="24"/>
        <w:numPr>
          <w:ilvl w:val="0"/>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Review and Validation of Indicators and Data Collection Tools</w:t>
      </w:r>
    </w:p>
    <w:p w14:paraId="0195F66E">
      <w:pPr>
        <w:spacing w:line="360" w:lineRule="auto"/>
        <w:jc w:val="both"/>
        <w:rPr>
          <w:rFonts w:ascii="Times New Roman" w:hAnsi="Times New Roman" w:cs="Times New Roman"/>
          <w:sz w:val="24"/>
          <w:szCs w:val="24"/>
        </w:rPr>
      </w:pPr>
      <w:r>
        <w:rPr>
          <w:rFonts w:ascii="Times New Roman" w:hAnsi="Times New Roman" w:cs="Times New Roman"/>
          <w:sz w:val="24"/>
          <w:szCs w:val="24"/>
        </w:rPr>
        <w:t>Monitoring indicators and data collection templates were reviewed and updated where necessary to ensure consistency, reliability, and accuracy in data collection and reporting. The updated tools were shared with decentralized departments and implementing units to support standardized reporting across sectors.</w:t>
      </w:r>
    </w:p>
    <w:p w14:paraId="711B912E">
      <w:pPr>
        <w:pStyle w:val="24"/>
        <w:numPr>
          <w:ilvl w:val="0"/>
          <w:numId w:val="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Field Monitoring and Project Inspections</w:t>
      </w:r>
    </w:p>
    <w:p w14:paraId="499D8CE5">
      <w:pPr>
        <w:spacing w:line="360" w:lineRule="auto"/>
        <w:jc w:val="both"/>
        <w:rPr>
          <w:rFonts w:ascii="Times New Roman" w:hAnsi="Times New Roman" w:cs="Times New Roman"/>
          <w:sz w:val="24"/>
          <w:szCs w:val="24"/>
        </w:rPr>
      </w:pPr>
      <w:r>
        <w:rPr>
          <w:rFonts w:ascii="Times New Roman" w:hAnsi="Times New Roman" w:cs="Times New Roman"/>
          <w:sz w:val="24"/>
          <w:szCs w:val="24"/>
        </w:rPr>
        <w:t>The DPCU and Specific Project Monitoring Team (SPMT) conducted site visits to inspect the progress of physical projects and assess the implementation status of programmes and activities across the District. Observations made during the monitoring exercises were documented and used for performance assessment and reporting.</w:t>
      </w:r>
    </w:p>
    <w:p w14:paraId="3C3303E2">
      <w:pPr>
        <w:pStyle w:val="24"/>
        <w:numPr>
          <w:ilvl w:val="0"/>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Data Compilation, Analysis, and Validation</w:t>
      </w:r>
    </w:p>
    <w:p w14:paraId="0C28D503">
      <w:pPr>
        <w:spacing w:line="360" w:lineRule="auto"/>
        <w:jc w:val="both"/>
        <w:rPr>
          <w:rFonts w:ascii="Times New Roman" w:hAnsi="Times New Roman" w:cs="Times New Roman"/>
          <w:sz w:val="24"/>
          <w:szCs w:val="24"/>
        </w:rPr>
      </w:pPr>
      <w:r>
        <w:rPr>
          <w:rFonts w:ascii="Times New Roman" w:hAnsi="Times New Roman" w:cs="Times New Roman"/>
          <w:sz w:val="24"/>
          <w:szCs w:val="24"/>
        </w:rPr>
        <w:t>Data collected from departments, field inspections, and stakeholder engagements were compiled and analyzed by the DPCU. The results were subsequently validated through DPCU review meetings to ensure completeness, consistency, and accuracy of the information presented in the report.</w:t>
      </w:r>
    </w:p>
    <w:p w14:paraId="15809AC0">
      <w:pPr>
        <w:pStyle w:val="24"/>
        <w:numPr>
          <w:ilvl w:val="0"/>
          <w:numId w:val="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Preparation and Dissemination of the Quarterly Progress Report</w:t>
      </w:r>
    </w:p>
    <w:p w14:paraId="01BD763F">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validated data and findings, the First Quarter Progress Report was prepared to capture the status of implementation of projects, programmes, indicators, and financial performance. The final report was then shared with relevant stakeholders to support decision-making, accountability, and future planning processes.</w:t>
      </w:r>
    </w:p>
    <w:p w14:paraId="11AB1023">
      <w:pPr>
        <w:pStyle w:val="4"/>
        <w:spacing w:before="240" w:after="240" w:line="360" w:lineRule="auto"/>
        <w:rPr>
          <w:rFonts w:ascii="Times New Roman" w:hAnsi="Times New Roman" w:cs="Times New Roman"/>
          <w:b/>
          <w:color w:val="auto"/>
        </w:rPr>
      </w:pPr>
      <w:bookmarkStart w:id="22" w:name="_Toc222333856"/>
    </w:p>
    <w:p w14:paraId="5C6DEEBB">
      <w:pPr>
        <w:pStyle w:val="4"/>
        <w:spacing w:before="240" w:after="240" w:line="360" w:lineRule="auto"/>
        <w:rPr>
          <w:rFonts w:ascii="Times New Roman" w:hAnsi="Times New Roman" w:cs="Times New Roman"/>
          <w:b/>
          <w:color w:val="auto"/>
        </w:rPr>
      </w:pPr>
      <w:bookmarkStart w:id="23" w:name="_Toc230260718"/>
      <w:r>
        <w:rPr>
          <w:rFonts w:ascii="Times New Roman" w:hAnsi="Times New Roman" w:cs="Times New Roman"/>
          <w:b/>
          <w:color w:val="auto"/>
        </w:rPr>
        <w:t>1.3.2 Difficulties Encountered</w:t>
      </w:r>
      <w:bookmarkEnd w:id="20"/>
      <w:bookmarkEnd w:id="21"/>
      <w:bookmarkEnd w:id="22"/>
      <w:bookmarkEnd w:id="23"/>
    </w:p>
    <w:p w14:paraId="006C5D59">
      <w:pPr>
        <w:pStyle w:val="24"/>
        <w:numPr>
          <w:ilvl w:val="0"/>
          <w:numId w:val="3"/>
        </w:numPr>
        <w:spacing w:line="360" w:lineRule="auto"/>
        <w:jc w:val="both"/>
        <w:rPr>
          <w:rFonts w:ascii="Times New Roman" w:hAnsi="Times New Roman" w:cs="Times New Roman"/>
          <w:sz w:val="24"/>
          <w:szCs w:val="24"/>
        </w:rPr>
      </w:pPr>
      <w:bookmarkStart w:id="24" w:name="_Toc173321166"/>
      <w:bookmarkStart w:id="25" w:name="_Toc189219080"/>
      <w:r>
        <w:rPr>
          <w:rFonts w:ascii="Times New Roman" w:hAnsi="Times New Roman" w:cs="Times New Roman"/>
          <w:b/>
          <w:bCs/>
          <w:sz w:val="24"/>
          <w:szCs w:val="24"/>
        </w:rPr>
        <w:t>Delayed Release of Statutory Funds</w:t>
      </w:r>
    </w:p>
    <w:p w14:paraId="5845C88B">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major challenges encountered during the quarter was the delayed and release of statutory funds, particularly the District Assemblies Common Fund (DACF) and DACF–Responsive Factor Grant (DACF-RFG). This affected the timely execution of projects and implementation of planned activities.</w:t>
      </w:r>
    </w:p>
    <w:p w14:paraId="082B5298">
      <w:pPr>
        <w:pStyle w:val="24"/>
        <w:numPr>
          <w:ilvl w:val="0"/>
          <w:numId w:val="3"/>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Inadequate Logistical Support</w:t>
      </w:r>
    </w:p>
    <w:p w14:paraId="010C44D9">
      <w:pPr>
        <w:spacing w:line="360" w:lineRule="auto"/>
        <w:jc w:val="both"/>
        <w:rPr>
          <w:rFonts w:ascii="Times New Roman" w:hAnsi="Times New Roman" w:cs="Times New Roman"/>
          <w:sz w:val="24"/>
          <w:szCs w:val="24"/>
        </w:rPr>
      </w:pPr>
      <w:r>
        <w:rPr>
          <w:rFonts w:ascii="Times New Roman" w:hAnsi="Times New Roman" w:cs="Times New Roman"/>
          <w:sz w:val="24"/>
          <w:szCs w:val="24"/>
        </w:rPr>
        <w:t>Limited logistics, including inadequate vehicles, office equipment, and monitoring tools, constrained the ability of departments and monitoring teams to effectively undertake field activities, reporting  and supervision exercises.</w:t>
      </w:r>
    </w:p>
    <w:p w14:paraId="4EB9F214">
      <w:pPr>
        <w:pStyle w:val="24"/>
        <w:numPr>
          <w:ilvl w:val="0"/>
          <w:numId w:val="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Weak Functionality of Sub-District Structures</w:t>
      </w:r>
    </w:p>
    <w:p w14:paraId="4E88BA6A">
      <w:pPr>
        <w:spacing w:line="360" w:lineRule="auto"/>
        <w:jc w:val="both"/>
        <w:rPr>
          <w:rFonts w:ascii="Times New Roman" w:hAnsi="Times New Roman" w:cs="Times New Roman"/>
          <w:sz w:val="24"/>
          <w:szCs w:val="24"/>
        </w:rPr>
      </w:pPr>
      <w:r>
        <w:rPr>
          <w:rFonts w:ascii="Times New Roman" w:hAnsi="Times New Roman" w:cs="Times New Roman"/>
          <w:sz w:val="24"/>
          <w:szCs w:val="24"/>
        </w:rPr>
        <w:t>Some sub-district structures remained weak and less functional, thereby affecting grassroots participation, local-level coordination, and effective monitoring of development interventions within communities.</w:t>
      </w:r>
    </w:p>
    <w:p w14:paraId="6E644EF2">
      <w:pPr>
        <w:pStyle w:val="24"/>
        <w:numPr>
          <w:ilvl w:val="0"/>
          <w:numId w:val="3"/>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Late Submission of Departmental Reports</w:t>
      </w:r>
    </w:p>
    <w:p w14:paraId="19357CF9">
      <w:pPr>
        <w:spacing w:line="360" w:lineRule="auto"/>
        <w:jc w:val="both"/>
        <w:rPr>
          <w:rFonts w:ascii="Times New Roman" w:hAnsi="Times New Roman" w:cs="Times New Roman"/>
          <w:sz w:val="24"/>
          <w:szCs w:val="24"/>
        </w:rPr>
      </w:pPr>
      <w:r>
        <w:rPr>
          <w:rFonts w:ascii="Times New Roman" w:hAnsi="Times New Roman" w:cs="Times New Roman"/>
          <w:sz w:val="24"/>
          <w:szCs w:val="24"/>
        </w:rPr>
        <w:t>Delays in the submission of reports by some decentralized departments affected the timely compilation, validation, and analysis of data for the quarterly reporting process.</w:t>
      </w:r>
    </w:p>
    <w:p w14:paraId="34081507">
      <w:pPr>
        <w:pStyle w:val="24"/>
        <w:numPr>
          <w:ilvl w:val="0"/>
          <w:numId w:val="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Contractor Performance Challenges</w:t>
      </w:r>
    </w:p>
    <w:p w14:paraId="351B8CB4">
      <w:pPr>
        <w:spacing w:line="360" w:lineRule="auto"/>
        <w:jc w:val="both"/>
        <w:rPr>
          <w:rFonts w:ascii="Times New Roman" w:hAnsi="Times New Roman" w:cs="Times New Roman"/>
          <w:sz w:val="24"/>
          <w:szCs w:val="24"/>
        </w:rPr>
      </w:pPr>
      <w:r>
        <w:rPr>
          <w:rFonts w:ascii="Times New Roman" w:hAnsi="Times New Roman" w:cs="Times New Roman"/>
          <w:sz w:val="24"/>
          <w:szCs w:val="24"/>
        </w:rPr>
        <w:t>Some contractors demonstrated slow work progress due to inadequate technical capacity, financial constraints, and limited access to construction equipments, leading to delays in project execution and completion.</w:t>
      </w:r>
    </w:p>
    <w:p w14:paraId="7CF1A316">
      <w:pPr>
        <w:pStyle w:val="24"/>
        <w:numPr>
          <w:ilvl w:val="0"/>
          <w:numId w:val="3"/>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Financial Constraints Affecting Programme Implementation</w:t>
      </w:r>
    </w:p>
    <w:p w14:paraId="5D0A910E">
      <w:pPr>
        <w:spacing w:line="360" w:lineRule="auto"/>
        <w:jc w:val="both"/>
        <w:rPr>
          <w:rFonts w:ascii="Times New Roman" w:hAnsi="Times New Roman" w:cs="Times New Roman"/>
          <w:sz w:val="24"/>
          <w:szCs w:val="24"/>
        </w:rPr>
      </w:pPr>
      <w:r>
        <w:rPr>
          <w:rFonts w:ascii="Times New Roman" w:hAnsi="Times New Roman" w:cs="Times New Roman"/>
          <w:sz w:val="24"/>
          <w:szCs w:val="24"/>
        </w:rPr>
        <w:t>Inadequate financial resources affected the implementation of some planned programmes, sensitization activities, and monitoring exercises during the quarter, particularly within the social services sector.</w:t>
      </w:r>
    </w:p>
    <w:p w14:paraId="796BAEE8">
      <w:pPr>
        <w:pStyle w:val="24"/>
        <w:numPr>
          <w:ilvl w:val="0"/>
          <w:numId w:val="3"/>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Transportation and Accessibility Challenges:</w:t>
      </w:r>
    </w:p>
    <w:p w14:paraId="3321FEE8">
      <w:pPr>
        <w:spacing w:line="360" w:lineRule="auto"/>
        <w:jc w:val="both"/>
        <w:rPr>
          <w:rFonts w:ascii="Times New Roman" w:hAnsi="Times New Roman" w:cs="Times New Roman"/>
          <w:sz w:val="24"/>
          <w:szCs w:val="24"/>
        </w:rPr>
      </w:pPr>
      <w:r>
        <w:rPr>
          <w:rFonts w:ascii="Times New Roman" w:hAnsi="Times New Roman" w:cs="Times New Roman"/>
          <w:sz w:val="24"/>
          <w:szCs w:val="24"/>
        </w:rPr>
        <w:t>Poor road conditions and transportation difficulties in some communities affected regular monitoring visits and delayed access to certain project sites, especially in remote areas of the District.</w:t>
      </w:r>
    </w:p>
    <w:p w14:paraId="3A3CD13D">
      <w:pPr>
        <w:spacing w:line="360" w:lineRule="auto"/>
        <w:jc w:val="both"/>
        <w:rPr>
          <w:rFonts w:ascii="Times New Roman" w:hAnsi="Times New Roman" w:cs="Times New Roman"/>
          <w:sz w:val="24"/>
          <w:szCs w:val="24"/>
        </w:rPr>
      </w:pPr>
      <w:r>
        <w:rPr>
          <w:rFonts w:ascii="Times New Roman" w:hAnsi="Times New Roman" w:cs="Times New Roman"/>
          <w:sz w:val="24"/>
          <w:szCs w:val="24"/>
        </w:rPr>
        <w:t>Despite these challenges, the Assembly continued to make efforts to ensure effective implementation, monitoring, and reporting of programmes and projects during the First Quarter of 2026 through collaboration, stakeholder engagement, and prudent resource utilization.</w:t>
      </w:r>
    </w:p>
    <w:p w14:paraId="4A33EB86">
      <w:pPr>
        <w:pStyle w:val="3"/>
        <w:spacing w:before="240" w:after="240" w:line="360" w:lineRule="auto"/>
        <w:rPr>
          <w:rFonts w:ascii="Times New Roman" w:hAnsi="Times New Roman" w:cs="Times New Roman"/>
          <w:b/>
          <w:color w:val="auto"/>
          <w:sz w:val="24"/>
          <w:szCs w:val="24"/>
        </w:rPr>
      </w:pPr>
      <w:bookmarkStart w:id="26" w:name="_Toc222333857"/>
      <w:bookmarkStart w:id="27" w:name="_Toc230260719"/>
      <w:r>
        <w:rPr>
          <w:rFonts w:ascii="Times New Roman" w:hAnsi="Times New Roman" w:cs="Times New Roman"/>
          <w:b/>
          <w:color w:val="auto"/>
          <w:sz w:val="24"/>
          <w:szCs w:val="24"/>
        </w:rPr>
        <w:t>1.4 Summary of Achievements in the Implementation of Planned Activities</w:t>
      </w:r>
      <w:bookmarkEnd w:id="24"/>
      <w:bookmarkEnd w:id="25"/>
      <w:bookmarkEnd w:id="26"/>
      <w:bookmarkEnd w:id="27"/>
    </w:p>
    <w:p w14:paraId="44DF4FC4">
      <w:pPr>
        <w:spacing w:line="360" w:lineRule="auto"/>
        <w:jc w:val="both"/>
        <w:rPr>
          <w:rFonts w:ascii="Times New Roman" w:hAnsi="Times New Roman" w:cs="Times New Roman"/>
          <w:sz w:val="24"/>
          <w:szCs w:val="24"/>
        </w:rPr>
      </w:pPr>
      <w:r>
        <w:rPr>
          <w:rFonts w:ascii="Times New Roman" w:hAnsi="Times New Roman" w:cs="Times New Roman"/>
          <w:sz w:val="24"/>
          <w:szCs w:val="24"/>
        </w:rPr>
        <w:t>In pursuit of its development objectives for the 2026 fiscal year, the Birim North District Assembly undertook various interventions aimed at improving infrastructure, enhancing service delivery, promoting local economic growth, and improving the overall well-being of residents within the District.</w:t>
      </w:r>
    </w:p>
    <w:p w14:paraId="4603F51C">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quarter under review, progress was made across several sectors including education, health, water and sanitation, governance, social protection, and economic development. While some projects were fully completed and already delivering benefits to communities, others progressed steadily at various stages of implementation. The Assembly also undertook activities related to revenue mobilization, social welfare services, community sensitization, and monitoring and evaluation.</w:t>
      </w:r>
    </w:p>
    <w:p w14:paraId="20DF0406">
      <w:pPr>
        <w:spacing w:line="360" w:lineRule="auto"/>
        <w:jc w:val="both"/>
        <w:rPr>
          <w:rFonts w:ascii="Times New Roman" w:hAnsi="Times New Roman" w:cs="Times New Roman"/>
          <w:sz w:val="24"/>
          <w:szCs w:val="24"/>
        </w:rPr>
      </w:pPr>
      <w:r>
        <w:rPr>
          <w:rFonts w:ascii="Times New Roman" w:hAnsi="Times New Roman" w:cs="Times New Roman"/>
          <w:sz w:val="24"/>
          <w:szCs w:val="24"/>
        </w:rPr>
        <w:t>Despite challenges such as delays in the release of statutory funds and inadequate logistical support, the Assembly continued to collaborate with decentralized departments, stakeholders, development partners, contractors, and community members to implement planned interventions.</w:t>
      </w:r>
    </w:p>
    <w:p w14:paraId="26AA0D48">
      <w:pPr>
        <w:spacing w:line="360" w:lineRule="auto"/>
        <w:jc w:val="both"/>
        <w:rPr>
          <w:rFonts w:ascii="Times New Roman" w:hAnsi="Times New Roman" w:cs="Times New Roman"/>
          <w:sz w:val="24"/>
          <w:szCs w:val="24"/>
        </w:rPr>
      </w:pPr>
      <w:r>
        <w:rPr>
          <w:rFonts w:ascii="Times New Roman" w:hAnsi="Times New Roman" w:cs="Times New Roman"/>
          <w:sz w:val="24"/>
          <w:szCs w:val="24"/>
        </w:rPr>
        <w:t>Table 1 below presents a summary of the implementation status of planned activities during the reporting period. The table provides an overview of the Assembly’s performance and highlights the extent to which programmes, projects, and activities were carried out in line with approved plans and development targets.</w:t>
      </w:r>
    </w:p>
    <w:p w14:paraId="64CC5859">
      <w:pPr>
        <w:spacing w:line="360" w:lineRule="auto"/>
        <w:jc w:val="both"/>
        <w:rPr>
          <w:rFonts w:ascii="Times New Roman" w:hAnsi="Times New Roman" w:cs="Times New Roman"/>
          <w:vanish/>
          <w:sz w:val="24"/>
          <w:szCs w:val="24"/>
        </w:rPr>
      </w:pPr>
      <w:r>
        <w:rPr>
          <w:rFonts w:ascii="Times New Roman" w:hAnsi="Times New Roman" w:cs="Times New Roman"/>
          <w:vanish/>
          <w:sz w:val="24"/>
          <w:szCs w:val="24"/>
        </w:rPr>
        <w:t>Top of Form</w:t>
      </w:r>
    </w:p>
    <w:p w14:paraId="0E663C55">
      <w:pPr>
        <w:spacing w:line="360" w:lineRule="auto"/>
        <w:jc w:val="both"/>
        <w:rPr>
          <w:rFonts w:ascii="Times New Roman" w:hAnsi="Times New Roman" w:cs="Times New Roman"/>
          <w:vanish/>
          <w:sz w:val="24"/>
          <w:szCs w:val="24"/>
        </w:rPr>
      </w:pPr>
      <w:r>
        <w:rPr>
          <w:rFonts w:ascii="Times New Roman" w:hAnsi="Times New Roman" w:cs="Times New Roman"/>
          <w:vanish/>
          <w:sz w:val="24"/>
          <w:szCs w:val="24"/>
        </w:rPr>
        <w:t>Bottom of Form</w:t>
      </w:r>
    </w:p>
    <w:p w14:paraId="03252EDF">
      <w:pPr>
        <w:pStyle w:val="8"/>
        <w:keepNext/>
        <w:rPr>
          <w:b/>
          <w:color w:val="auto"/>
          <w:sz w:val="22"/>
        </w:rPr>
      </w:pPr>
      <w:bookmarkStart w:id="28" w:name="_Toc229970427"/>
      <w:r>
        <w:rPr>
          <w:b/>
          <w:color w:val="auto"/>
          <w:sz w:val="22"/>
        </w:rPr>
        <w:t xml:space="preserve">Table </w:t>
      </w:r>
      <w:r>
        <w:rPr>
          <w:b/>
          <w:color w:val="auto"/>
          <w:sz w:val="22"/>
        </w:rPr>
        <w:fldChar w:fldCharType="begin"/>
      </w:r>
      <w:r>
        <w:rPr>
          <w:b/>
          <w:color w:val="auto"/>
          <w:sz w:val="22"/>
        </w:rPr>
        <w:instrText xml:space="preserve"> SEQ Table \* ARABIC </w:instrText>
      </w:r>
      <w:r>
        <w:rPr>
          <w:b/>
          <w:color w:val="auto"/>
          <w:sz w:val="22"/>
        </w:rPr>
        <w:fldChar w:fldCharType="separate"/>
      </w:r>
      <w:r>
        <w:rPr>
          <w:b/>
          <w:color w:val="auto"/>
          <w:sz w:val="22"/>
        </w:rPr>
        <w:t>1</w:t>
      </w:r>
      <w:r>
        <w:rPr>
          <w:b/>
          <w:color w:val="auto"/>
          <w:sz w:val="22"/>
        </w:rPr>
        <w:fldChar w:fldCharType="end"/>
      </w:r>
      <w:r>
        <w:rPr>
          <w:b/>
          <w:color w:val="auto"/>
          <w:sz w:val="22"/>
        </w:rPr>
        <w:t>: Summary of Achievements of Implemented Activities as at First Quarter 2026.</w:t>
      </w:r>
      <w:bookmarkEnd w:id="28"/>
    </w:p>
    <w:tbl>
      <w:tblPr>
        <w:tblStyle w:val="6"/>
        <w:tblW w:w="11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61" w:type="dxa"/>
          <w:bottom w:w="0" w:type="dxa"/>
          <w:right w:w="13" w:type="dxa"/>
        </w:tblCellMar>
      </w:tblPr>
      <w:tblGrid>
        <w:gridCol w:w="583"/>
        <w:gridCol w:w="3282"/>
        <w:gridCol w:w="1217"/>
        <w:gridCol w:w="1213"/>
        <w:gridCol w:w="1213"/>
        <w:gridCol w:w="1170"/>
        <w:gridCol w:w="1260"/>
        <w:gridCol w:w="1350"/>
      </w:tblGrid>
      <w:tr w14:paraId="45E3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169" w:hRule="atLeast"/>
          <w:jc w:val="center"/>
        </w:trPr>
        <w:tc>
          <w:tcPr>
            <w:tcW w:w="583" w:type="dxa"/>
            <w:vMerge w:val="restar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5194818B">
            <w:pPr>
              <w:tabs>
                <w:tab w:val="left" w:pos="1935"/>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S/N</w:t>
            </w:r>
          </w:p>
        </w:tc>
        <w:tc>
          <w:tcPr>
            <w:tcW w:w="3282" w:type="dxa"/>
            <w:vMerge w:val="restar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493A81AB">
            <w:pPr>
              <w:tabs>
                <w:tab w:val="left" w:pos="1935"/>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Development Dimension</w:t>
            </w:r>
          </w:p>
        </w:tc>
        <w:tc>
          <w:tcPr>
            <w:tcW w:w="2430" w:type="dxa"/>
            <w:gridSpan w:val="2"/>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648D6498">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2024</w:t>
            </w:r>
          </w:p>
        </w:tc>
        <w:tc>
          <w:tcPr>
            <w:tcW w:w="2383" w:type="dxa"/>
            <w:gridSpan w:val="2"/>
            <w:shd w:val="clear" w:color="auto" w:fill="BDD6EE" w:themeFill="accent1" w:themeFillTint="66"/>
            <w:vAlign w:val="center"/>
          </w:tcPr>
          <w:p w14:paraId="1F591581">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2025</w:t>
            </w:r>
          </w:p>
        </w:tc>
        <w:tc>
          <w:tcPr>
            <w:tcW w:w="2610" w:type="dxa"/>
            <w:gridSpan w:val="2"/>
            <w:shd w:val="clear" w:color="auto" w:fill="BDD6EE" w:themeFill="accent1" w:themeFillTint="66"/>
            <w:vAlign w:val="center"/>
          </w:tcPr>
          <w:p w14:paraId="379ABA20">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r>
              <w:rPr>
                <w:rFonts w:ascii="Times New Roman" w:hAnsi="Times New Roman" w:cs="Times New Roman"/>
                <w:b/>
                <w:sz w:val="20"/>
                <w:szCs w:val="20"/>
                <w:vertAlign w:val="superscript"/>
              </w:rPr>
              <w:t>ST</w:t>
            </w:r>
            <w:r>
              <w:rPr>
                <w:rFonts w:ascii="Times New Roman" w:hAnsi="Times New Roman" w:cs="Times New Roman"/>
                <w:b/>
                <w:sz w:val="20"/>
                <w:szCs w:val="20"/>
              </w:rPr>
              <w:t xml:space="preserve"> QTR 2026</w:t>
            </w:r>
          </w:p>
        </w:tc>
      </w:tr>
      <w:tr w14:paraId="06B2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169" w:hRule="atLeast"/>
          <w:jc w:val="center"/>
        </w:trPr>
        <w:tc>
          <w:tcPr>
            <w:tcW w:w="583" w:type="dxa"/>
            <w:vMerge w:val="continue"/>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35CE64B1">
            <w:pPr>
              <w:tabs>
                <w:tab w:val="left" w:pos="1935"/>
              </w:tabs>
              <w:spacing w:after="0" w:line="240" w:lineRule="auto"/>
              <w:jc w:val="both"/>
              <w:rPr>
                <w:rFonts w:ascii="Times New Roman" w:hAnsi="Times New Roman" w:cs="Times New Roman"/>
                <w:b/>
                <w:sz w:val="20"/>
                <w:szCs w:val="20"/>
              </w:rPr>
            </w:pPr>
          </w:p>
        </w:tc>
        <w:tc>
          <w:tcPr>
            <w:tcW w:w="3282" w:type="dxa"/>
            <w:vMerge w:val="continue"/>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49F9AFB8">
            <w:pPr>
              <w:tabs>
                <w:tab w:val="left" w:pos="1935"/>
              </w:tabs>
              <w:spacing w:after="0" w:line="240" w:lineRule="auto"/>
              <w:jc w:val="both"/>
              <w:rPr>
                <w:rFonts w:ascii="Times New Roman" w:hAnsi="Times New Roman" w:cs="Times New Roman"/>
                <w:b/>
                <w:sz w:val="20"/>
                <w:szCs w:val="20"/>
              </w:rPr>
            </w:pPr>
          </w:p>
        </w:tc>
        <w:tc>
          <w:tcPr>
            <w:tcW w:w="1217"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0AD70262">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Plan</w:t>
            </w:r>
          </w:p>
        </w:tc>
        <w:tc>
          <w:tcPr>
            <w:tcW w:w="1213"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75832996">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Exec</w:t>
            </w:r>
          </w:p>
        </w:tc>
        <w:tc>
          <w:tcPr>
            <w:tcW w:w="1213" w:type="dxa"/>
            <w:shd w:val="clear" w:color="auto" w:fill="BDD6EE" w:themeFill="accent1" w:themeFillTint="66"/>
            <w:vAlign w:val="center"/>
          </w:tcPr>
          <w:p w14:paraId="43DF6457">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Plan</w:t>
            </w:r>
          </w:p>
        </w:tc>
        <w:tc>
          <w:tcPr>
            <w:tcW w:w="1170" w:type="dxa"/>
            <w:shd w:val="clear" w:color="auto" w:fill="BDD6EE" w:themeFill="accent1" w:themeFillTint="66"/>
            <w:vAlign w:val="center"/>
          </w:tcPr>
          <w:p w14:paraId="6C193964">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Exec</w:t>
            </w:r>
          </w:p>
        </w:tc>
        <w:tc>
          <w:tcPr>
            <w:tcW w:w="1260" w:type="dxa"/>
            <w:shd w:val="clear" w:color="auto" w:fill="BDD6EE" w:themeFill="accent1" w:themeFillTint="66"/>
            <w:vAlign w:val="center"/>
          </w:tcPr>
          <w:p w14:paraId="1EBB9EBA">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Plan</w:t>
            </w:r>
          </w:p>
        </w:tc>
        <w:tc>
          <w:tcPr>
            <w:tcW w:w="1350" w:type="dxa"/>
            <w:shd w:val="clear" w:color="auto" w:fill="BDD6EE" w:themeFill="accent1" w:themeFillTint="66"/>
            <w:vAlign w:val="center"/>
          </w:tcPr>
          <w:p w14:paraId="1EC5008B">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Exec</w:t>
            </w:r>
          </w:p>
        </w:tc>
      </w:tr>
      <w:tr w14:paraId="7F68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582" w:hRule="atLeast"/>
          <w:jc w:val="center"/>
        </w:trPr>
        <w:tc>
          <w:tcPr>
            <w:tcW w:w="58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09CF505E">
            <w:pPr>
              <w:pStyle w:val="24"/>
              <w:numPr>
                <w:ilvl w:val="0"/>
                <w:numId w:val="4"/>
              </w:numPr>
              <w:tabs>
                <w:tab w:val="left" w:pos="1935"/>
              </w:tabs>
              <w:spacing w:after="0" w:line="240" w:lineRule="auto"/>
              <w:jc w:val="both"/>
              <w:rPr>
                <w:rFonts w:ascii="Times New Roman" w:hAnsi="Times New Roman" w:cs="Times New Roman"/>
                <w:b/>
                <w:sz w:val="20"/>
                <w:szCs w:val="20"/>
              </w:rPr>
            </w:pPr>
          </w:p>
        </w:tc>
        <w:tc>
          <w:tcPr>
            <w:tcW w:w="3282"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14:paraId="714ACD1C">
            <w:pPr>
              <w:tabs>
                <w:tab w:val="left" w:pos="1935"/>
              </w:tabs>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 xml:space="preserve">Economic Development </w:t>
            </w:r>
          </w:p>
        </w:tc>
        <w:tc>
          <w:tcPr>
            <w:tcW w:w="1217"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5DAB9665">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29</w:t>
            </w:r>
          </w:p>
        </w:tc>
        <w:tc>
          <w:tcPr>
            <w:tcW w:w="1213"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1AB577D6">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27</w:t>
            </w:r>
          </w:p>
        </w:tc>
        <w:tc>
          <w:tcPr>
            <w:tcW w:w="1213" w:type="dxa"/>
            <w:shd w:val="clear" w:color="auto" w:fill="EAEDF1" w:themeFill="text2" w:themeFillTint="1A"/>
            <w:vAlign w:val="center"/>
          </w:tcPr>
          <w:p w14:paraId="3EC309BC">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sz w:val="20"/>
                <w:szCs w:val="20"/>
              </w:rPr>
              <w:t>27</w:t>
            </w:r>
          </w:p>
        </w:tc>
        <w:tc>
          <w:tcPr>
            <w:tcW w:w="1170" w:type="dxa"/>
            <w:shd w:val="clear" w:color="auto" w:fill="EAEDF1" w:themeFill="text2" w:themeFillTint="1A"/>
            <w:vAlign w:val="center"/>
          </w:tcPr>
          <w:p w14:paraId="5B594597">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sz w:val="20"/>
                <w:szCs w:val="20"/>
              </w:rPr>
              <w:t>27</w:t>
            </w:r>
          </w:p>
        </w:tc>
        <w:tc>
          <w:tcPr>
            <w:tcW w:w="1260" w:type="dxa"/>
            <w:shd w:val="clear" w:color="auto" w:fill="EAEDF1" w:themeFill="text2" w:themeFillTint="1A"/>
            <w:vAlign w:val="center"/>
          </w:tcPr>
          <w:p w14:paraId="0ACF98F6">
            <w:pPr>
              <w:tabs>
                <w:tab w:val="left" w:pos="193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1350" w:type="dxa"/>
            <w:shd w:val="clear" w:color="auto" w:fill="EAEDF1" w:themeFill="text2" w:themeFillTint="1A"/>
            <w:vAlign w:val="center"/>
          </w:tcPr>
          <w:p w14:paraId="592BC672">
            <w:pPr>
              <w:tabs>
                <w:tab w:val="left" w:pos="193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14:paraId="63C3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592" w:hRule="atLeast"/>
          <w:jc w:val="center"/>
        </w:trPr>
        <w:tc>
          <w:tcPr>
            <w:tcW w:w="58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74D779F7">
            <w:pPr>
              <w:pStyle w:val="24"/>
              <w:numPr>
                <w:ilvl w:val="0"/>
                <w:numId w:val="4"/>
              </w:numPr>
              <w:tabs>
                <w:tab w:val="left" w:pos="1935"/>
              </w:tabs>
              <w:spacing w:after="0" w:line="240" w:lineRule="auto"/>
              <w:jc w:val="both"/>
              <w:rPr>
                <w:rFonts w:ascii="Times New Roman" w:hAnsi="Times New Roman" w:cs="Times New Roman"/>
                <w:b/>
                <w:sz w:val="20"/>
                <w:szCs w:val="20"/>
              </w:rPr>
            </w:pPr>
          </w:p>
        </w:tc>
        <w:tc>
          <w:tcPr>
            <w:tcW w:w="3282"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14:paraId="096EE169">
            <w:pPr>
              <w:tabs>
                <w:tab w:val="left" w:pos="1935"/>
              </w:tabs>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Social Development</w:t>
            </w:r>
          </w:p>
        </w:tc>
        <w:tc>
          <w:tcPr>
            <w:tcW w:w="1217"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7DCA232D">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213"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4EB471BA">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69</w:t>
            </w:r>
          </w:p>
        </w:tc>
        <w:tc>
          <w:tcPr>
            <w:tcW w:w="1213" w:type="dxa"/>
            <w:shd w:val="clear" w:color="auto" w:fill="EAEDF1" w:themeFill="text2" w:themeFillTint="1A"/>
            <w:vAlign w:val="center"/>
          </w:tcPr>
          <w:p w14:paraId="7B7BDA7D">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sz w:val="20"/>
                <w:szCs w:val="20"/>
              </w:rPr>
              <w:t>44</w:t>
            </w:r>
          </w:p>
        </w:tc>
        <w:tc>
          <w:tcPr>
            <w:tcW w:w="1170" w:type="dxa"/>
            <w:shd w:val="clear" w:color="auto" w:fill="EAEDF1" w:themeFill="text2" w:themeFillTint="1A"/>
            <w:vAlign w:val="center"/>
          </w:tcPr>
          <w:p w14:paraId="5979D928">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sz w:val="20"/>
                <w:szCs w:val="20"/>
              </w:rPr>
              <w:t>42</w:t>
            </w:r>
          </w:p>
        </w:tc>
        <w:tc>
          <w:tcPr>
            <w:tcW w:w="1260" w:type="dxa"/>
            <w:shd w:val="clear" w:color="auto" w:fill="EAEDF1" w:themeFill="text2" w:themeFillTint="1A"/>
            <w:vAlign w:val="center"/>
          </w:tcPr>
          <w:p w14:paraId="328CB52A">
            <w:pPr>
              <w:tabs>
                <w:tab w:val="left" w:pos="193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76</w:t>
            </w:r>
          </w:p>
        </w:tc>
        <w:tc>
          <w:tcPr>
            <w:tcW w:w="1350" w:type="dxa"/>
            <w:shd w:val="clear" w:color="auto" w:fill="EAEDF1" w:themeFill="text2" w:themeFillTint="1A"/>
            <w:vAlign w:val="center"/>
          </w:tcPr>
          <w:p w14:paraId="5B0ED9BB">
            <w:pPr>
              <w:tabs>
                <w:tab w:val="left" w:pos="1935"/>
              </w:tabs>
              <w:spacing w:after="0" w:line="240" w:lineRule="auto"/>
              <w:jc w:val="center"/>
              <w:rPr>
                <w:rFonts w:ascii="Times New Roman" w:hAnsi="Times New Roman" w:cs="Times New Roman"/>
                <w:sz w:val="20"/>
                <w:szCs w:val="20"/>
                <w:lang w:val="zh-CN"/>
              </w:rPr>
            </w:pPr>
            <w:r>
              <w:rPr>
                <w:rFonts w:ascii="Times New Roman" w:hAnsi="Times New Roman" w:cs="Times New Roman"/>
                <w:sz w:val="20"/>
                <w:szCs w:val="20"/>
                <w:lang w:val="zh-CN"/>
              </w:rPr>
              <w:t>40</w:t>
            </w:r>
          </w:p>
        </w:tc>
      </w:tr>
      <w:tr w14:paraId="24B5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592" w:hRule="atLeast"/>
          <w:jc w:val="center"/>
        </w:trPr>
        <w:tc>
          <w:tcPr>
            <w:tcW w:w="58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6AAC6B8B">
            <w:pPr>
              <w:pStyle w:val="24"/>
              <w:numPr>
                <w:ilvl w:val="0"/>
                <w:numId w:val="4"/>
              </w:numPr>
              <w:tabs>
                <w:tab w:val="left" w:pos="1935"/>
              </w:tabs>
              <w:spacing w:after="0" w:line="240" w:lineRule="auto"/>
              <w:jc w:val="both"/>
              <w:rPr>
                <w:rFonts w:ascii="Times New Roman" w:hAnsi="Times New Roman" w:cs="Times New Roman"/>
                <w:b/>
                <w:sz w:val="20"/>
                <w:szCs w:val="20"/>
              </w:rPr>
            </w:pPr>
          </w:p>
        </w:tc>
        <w:tc>
          <w:tcPr>
            <w:tcW w:w="3282"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14:paraId="73A690A1">
            <w:pPr>
              <w:tabs>
                <w:tab w:val="left" w:pos="1935"/>
              </w:tabs>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217"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58076839">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zh-CN"/>
              </w:rPr>
              <w:t>3</w:t>
            </w:r>
            <w:r>
              <w:rPr>
                <w:rFonts w:ascii="Times New Roman" w:hAnsi="Times New Roman" w:cs="Times New Roman"/>
                <w:bCs/>
                <w:sz w:val="20"/>
                <w:szCs w:val="20"/>
              </w:rPr>
              <w:t>5</w:t>
            </w:r>
          </w:p>
        </w:tc>
        <w:tc>
          <w:tcPr>
            <w:tcW w:w="1213"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2F3636BD">
            <w:pPr>
              <w:tabs>
                <w:tab w:val="left" w:pos="1935"/>
              </w:tabs>
              <w:spacing w:after="0" w:line="240" w:lineRule="auto"/>
              <w:jc w:val="center"/>
              <w:rPr>
                <w:rFonts w:ascii="Times New Roman" w:hAnsi="Times New Roman" w:cs="Times New Roman"/>
                <w:bCs/>
                <w:sz w:val="20"/>
                <w:szCs w:val="20"/>
                <w:lang w:val="zh-CN"/>
              </w:rPr>
            </w:pPr>
            <w:r>
              <w:rPr>
                <w:rFonts w:ascii="Times New Roman" w:hAnsi="Times New Roman" w:cs="Times New Roman"/>
                <w:bCs/>
                <w:sz w:val="20"/>
                <w:szCs w:val="20"/>
              </w:rPr>
              <w:t>2</w:t>
            </w:r>
            <w:r>
              <w:rPr>
                <w:rFonts w:ascii="Times New Roman" w:hAnsi="Times New Roman" w:cs="Times New Roman"/>
                <w:bCs/>
                <w:sz w:val="20"/>
                <w:szCs w:val="20"/>
                <w:lang w:val="zh-CN"/>
              </w:rPr>
              <w:t>7</w:t>
            </w:r>
          </w:p>
        </w:tc>
        <w:tc>
          <w:tcPr>
            <w:tcW w:w="1213" w:type="dxa"/>
            <w:shd w:val="clear" w:color="auto" w:fill="EAEDF1" w:themeFill="text2" w:themeFillTint="1A"/>
            <w:vAlign w:val="center"/>
          </w:tcPr>
          <w:p w14:paraId="4DDEB6F1">
            <w:pPr>
              <w:tabs>
                <w:tab w:val="left" w:pos="1935"/>
              </w:tabs>
              <w:spacing w:after="0" w:line="240" w:lineRule="auto"/>
              <w:jc w:val="center"/>
              <w:rPr>
                <w:rFonts w:ascii="Times New Roman" w:hAnsi="Times New Roman" w:cs="Times New Roman"/>
                <w:bCs/>
                <w:sz w:val="20"/>
                <w:szCs w:val="20"/>
              </w:rPr>
            </w:pPr>
            <w:r>
              <w:rPr>
                <w:rFonts w:ascii="Times New Roman" w:hAnsi="Times New Roman" w:cs="Times New Roman"/>
                <w:sz w:val="20"/>
                <w:szCs w:val="20"/>
                <w:lang w:val="zh-CN"/>
              </w:rPr>
              <w:t>5</w:t>
            </w:r>
            <w:r>
              <w:rPr>
                <w:rFonts w:ascii="Times New Roman" w:hAnsi="Times New Roman" w:cs="Times New Roman"/>
                <w:sz w:val="20"/>
                <w:szCs w:val="20"/>
              </w:rPr>
              <w:t>9</w:t>
            </w:r>
          </w:p>
        </w:tc>
        <w:tc>
          <w:tcPr>
            <w:tcW w:w="1170" w:type="dxa"/>
            <w:shd w:val="clear" w:color="auto" w:fill="EAEDF1" w:themeFill="text2" w:themeFillTint="1A"/>
            <w:vAlign w:val="center"/>
          </w:tcPr>
          <w:p w14:paraId="741D23EC">
            <w:pPr>
              <w:tabs>
                <w:tab w:val="left" w:pos="1935"/>
              </w:tabs>
              <w:spacing w:after="0" w:line="240" w:lineRule="auto"/>
              <w:jc w:val="center"/>
              <w:rPr>
                <w:rFonts w:ascii="Times New Roman" w:hAnsi="Times New Roman" w:cs="Times New Roman"/>
                <w:bCs/>
                <w:sz w:val="20"/>
                <w:szCs w:val="20"/>
                <w:lang w:val="zh-CN"/>
              </w:rPr>
            </w:pPr>
            <w:r>
              <w:rPr>
                <w:rFonts w:ascii="Times New Roman" w:hAnsi="Times New Roman" w:cs="Times New Roman"/>
                <w:bCs/>
                <w:sz w:val="20"/>
                <w:szCs w:val="20"/>
                <w:lang w:val="zh-CN"/>
              </w:rPr>
              <w:t>56</w:t>
            </w:r>
          </w:p>
        </w:tc>
        <w:tc>
          <w:tcPr>
            <w:tcW w:w="1260" w:type="dxa"/>
            <w:shd w:val="clear" w:color="auto" w:fill="EAEDF1" w:themeFill="text2" w:themeFillTint="1A"/>
            <w:vAlign w:val="center"/>
          </w:tcPr>
          <w:p w14:paraId="1CF815EA">
            <w:pPr>
              <w:tabs>
                <w:tab w:val="left" w:pos="1935"/>
              </w:tabs>
              <w:spacing w:after="0" w:line="240" w:lineRule="auto"/>
              <w:jc w:val="center"/>
              <w:rPr>
                <w:rFonts w:ascii="Times New Roman" w:hAnsi="Times New Roman" w:cs="Times New Roman"/>
                <w:sz w:val="20"/>
                <w:szCs w:val="20"/>
                <w:lang w:val="zh-CN"/>
              </w:rPr>
            </w:pPr>
            <w:r>
              <w:rPr>
                <w:rFonts w:ascii="Times New Roman" w:hAnsi="Times New Roman" w:cs="Times New Roman"/>
                <w:sz w:val="20"/>
                <w:szCs w:val="20"/>
                <w:lang w:val="zh-CN"/>
              </w:rPr>
              <w:t>39</w:t>
            </w:r>
          </w:p>
        </w:tc>
        <w:tc>
          <w:tcPr>
            <w:tcW w:w="1350" w:type="dxa"/>
            <w:shd w:val="clear" w:color="auto" w:fill="EAEDF1" w:themeFill="text2" w:themeFillTint="1A"/>
            <w:vAlign w:val="center"/>
          </w:tcPr>
          <w:p w14:paraId="746D6B2D">
            <w:pPr>
              <w:tabs>
                <w:tab w:val="left" w:pos="1935"/>
              </w:tabs>
              <w:spacing w:after="0" w:line="240" w:lineRule="auto"/>
              <w:jc w:val="center"/>
              <w:rPr>
                <w:rFonts w:ascii="Times New Roman" w:hAnsi="Times New Roman" w:cs="Times New Roman"/>
                <w:sz w:val="20"/>
                <w:szCs w:val="20"/>
                <w:lang w:val="zh-CN"/>
              </w:rPr>
            </w:pPr>
            <w:r>
              <w:rPr>
                <w:rFonts w:ascii="Times New Roman" w:hAnsi="Times New Roman" w:cs="Times New Roman"/>
                <w:sz w:val="20"/>
                <w:szCs w:val="20"/>
                <w:lang w:val="zh-CN"/>
              </w:rPr>
              <w:t>11</w:t>
            </w:r>
          </w:p>
        </w:tc>
      </w:tr>
      <w:tr w14:paraId="31BB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70" w:hRule="atLeast"/>
          <w:jc w:val="center"/>
        </w:trPr>
        <w:tc>
          <w:tcPr>
            <w:tcW w:w="58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64113712">
            <w:pPr>
              <w:pStyle w:val="24"/>
              <w:numPr>
                <w:ilvl w:val="0"/>
                <w:numId w:val="4"/>
              </w:numPr>
              <w:tabs>
                <w:tab w:val="left" w:pos="1935"/>
              </w:tabs>
              <w:spacing w:after="0" w:line="240" w:lineRule="auto"/>
              <w:jc w:val="both"/>
              <w:rPr>
                <w:rFonts w:ascii="Times New Roman" w:hAnsi="Times New Roman" w:cs="Times New Roman"/>
                <w:b/>
                <w:sz w:val="20"/>
                <w:szCs w:val="20"/>
              </w:rPr>
            </w:pPr>
          </w:p>
        </w:tc>
        <w:tc>
          <w:tcPr>
            <w:tcW w:w="3282"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14:paraId="037AA62D">
            <w:pPr>
              <w:tabs>
                <w:tab w:val="left" w:pos="1935"/>
              </w:tabs>
              <w:spacing w:after="0" w:line="240" w:lineRule="auto"/>
              <w:jc w:val="both"/>
              <w:rPr>
                <w:rFonts w:ascii="Times New Roman" w:hAnsi="Times New Roman" w:cs="Times New Roman"/>
                <w:sz w:val="20"/>
                <w:szCs w:val="20"/>
                <w:lang w:val="zh-CN"/>
              </w:rPr>
            </w:pPr>
            <w:r>
              <w:rPr>
                <w:rFonts w:ascii="Times New Roman" w:hAnsi="Times New Roman" w:cs="Times New Roman"/>
                <w:sz w:val="20"/>
                <w:szCs w:val="20"/>
              </w:rPr>
              <w:t xml:space="preserve">Governance, </w:t>
            </w:r>
            <w:r>
              <w:rPr>
                <w:rFonts w:ascii="Times New Roman" w:hAnsi="Times New Roman" w:cs="Times New Roman"/>
                <w:sz w:val="20"/>
                <w:szCs w:val="20"/>
                <w:lang w:val="zh-CN"/>
              </w:rPr>
              <w:t>and Institutional Development</w:t>
            </w:r>
          </w:p>
        </w:tc>
        <w:tc>
          <w:tcPr>
            <w:tcW w:w="1217"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1345D0C3">
            <w:pPr>
              <w:tabs>
                <w:tab w:val="left" w:pos="1935"/>
              </w:tabs>
              <w:spacing w:after="0" w:line="240" w:lineRule="auto"/>
              <w:jc w:val="center"/>
              <w:rPr>
                <w:rFonts w:ascii="Times New Roman" w:hAnsi="Times New Roman" w:cs="Times New Roman"/>
                <w:bCs/>
                <w:sz w:val="20"/>
                <w:szCs w:val="20"/>
                <w:lang w:val="zh-CN"/>
              </w:rPr>
            </w:pPr>
            <w:r>
              <w:rPr>
                <w:rFonts w:ascii="Times New Roman" w:hAnsi="Times New Roman" w:cs="Times New Roman"/>
                <w:bCs/>
                <w:sz w:val="20"/>
                <w:szCs w:val="20"/>
                <w:lang w:val="zh-CN"/>
              </w:rPr>
              <w:t>39</w:t>
            </w:r>
          </w:p>
        </w:tc>
        <w:tc>
          <w:tcPr>
            <w:tcW w:w="1213"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14:paraId="78667618">
            <w:pPr>
              <w:tabs>
                <w:tab w:val="left" w:pos="1935"/>
              </w:tabs>
              <w:spacing w:after="0" w:line="240" w:lineRule="auto"/>
              <w:jc w:val="center"/>
              <w:rPr>
                <w:rFonts w:ascii="Times New Roman" w:hAnsi="Times New Roman" w:cs="Times New Roman"/>
                <w:bCs/>
                <w:sz w:val="20"/>
                <w:szCs w:val="20"/>
                <w:lang w:val="zh-CN"/>
              </w:rPr>
            </w:pPr>
            <w:r>
              <w:rPr>
                <w:rFonts w:ascii="Times New Roman" w:hAnsi="Times New Roman" w:cs="Times New Roman"/>
                <w:bCs/>
                <w:sz w:val="20"/>
                <w:szCs w:val="20"/>
                <w:lang w:val="zh-CN"/>
              </w:rPr>
              <w:t>35</w:t>
            </w:r>
          </w:p>
        </w:tc>
        <w:tc>
          <w:tcPr>
            <w:tcW w:w="1213" w:type="dxa"/>
            <w:shd w:val="clear" w:color="auto" w:fill="EAEDF1" w:themeFill="text2" w:themeFillTint="1A"/>
            <w:vAlign w:val="center"/>
          </w:tcPr>
          <w:p w14:paraId="0DCD6BD6">
            <w:pPr>
              <w:tabs>
                <w:tab w:val="left" w:pos="1935"/>
              </w:tabs>
              <w:spacing w:after="0" w:line="240" w:lineRule="auto"/>
              <w:jc w:val="center"/>
              <w:rPr>
                <w:rFonts w:ascii="Times New Roman" w:hAnsi="Times New Roman" w:cs="Times New Roman"/>
                <w:bCs/>
                <w:sz w:val="20"/>
                <w:szCs w:val="20"/>
                <w:lang w:val="zh-CN"/>
              </w:rPr>
            </w:pPr>
            <w:r>
              <w:rPr>
                <w:rFonts w:ascii="Times New Roman" w:hAnsi="Times New Roman" w:cs="Times New Roman"/>
                <w:bCs/>
                <w:sz w:val="20"/>
                <w:szCs w:val="20"/>
                <w:lang w:val="zh-CN"/>
              </w:rPr>
              <w:t>30</w:t>
            </w:r>
          </w:p>
        </w:tc>
        <w:tc>
          <w:tcPr>
            <w:tcW w:w="1170" w:type="dxa"/>
            <w:shd w:val="clear" w:color="auto" w:fill="EAEDF1" w:themeFill="text2" w:themeFillTint="1A"/>
            <w:vAlign w:val="center"/>
          </w:tcPr>
          <w:p w14:paraId="1CAEA0A0">
            <w:pPr>
              <w:tabs>
                <w:tab w:val="left" w:pos="1935"/>
              </w:tabs>
              <w:spacing w:after="0" w:line="240" w:lineRule="auto"/>
              <w:jc w:val="center"/>
              <w:rPr>
                <w:rFonts w:ascii="Times New Roman" w:hAnsi="Times New Roman" w:cs="Times New Roman"/>
                <w:bCs/>
                <w:sz w:val="20"/>
                <w:szCs w:val="20"/>
                <w:lang w:val="zh-CN"/>
              </w:rPr>
            </w:pPr>
            <w:r>
              <w:rPr>
                <w:rFonts w:ascii="Times New Roman" w:hAnsi="Times New Roman" w:cs="Times New Roman"/>
                <w:bCs/>
                <w:sz w:val="20"/>
                <w:szCs w:val="20"/>
                <w:lang w:val="zh-CN"/>
              </w:rPr>
              <w:t>28</w:t>
            </w:r>
          </w:p>
        </w:tc>
        <w:tc>
          <w:tcPr>
            <w:tcW w:w="1260" w:type="dxa"/>
            <w:shd w:val="clear" w:color="auto" w:fill="EAEDF1" w:themeFill="text2" w:themeFillTint="1A"/>
            <w:vAlign w:val="center"/>
          </w:tcPr>
          <w:p w14:paraId="7254D038">
            <w:pPr>
              <w:tabs>
                <w:tab w:val="left" w:pos="1935"/>
              </w:tabs>
              <w:spacing w:after="0" w:line="240" w:lineRule="auto"/>
              <w:jc w:val="center"/>
              <w:rPr>
                <w:rFonts w:ascii="Times New Roman" w:hAnsi="Times New Roman" w:cs="Times New Roman"/>
                <w:sz w:val="20"/>
                <w:szCs w:val="20"/>
                <w:lang w:val="zh-CN"/>
              </w:rPr>
            </w:pPr>
            <w:r>
              <w:rPr>
                <w:rFonts w:ascii="Times New Roman" w:hAnsi="Times New Roman" w:cs="Times New Roman"/>
                <w:sz w:val="20"/>
                <w:szCs w:val="20"/>
                <w:lang w:val="zh-CN"/>
              </w:rPr>
              <w:t>46</w:t>
            </w:r>
          </w:p>
        </w:tc>
        <w:tc>
          <w:tcPr>
            <w:tcW w:w="1350" w:type="dxa"/>
            <w:shd w:val="clear" w:color="auto" w:fill="EAEDF1" w:themeFill="text2" w:themeFillTint="1A"/>
            <w:vAlign w:val="center"/>
          </w:tcPr>
          <w:p w14:paraId="3AC4FA17">
            <w:pPr>
              <w:tabs>
                <w:tab w:val="left" w:pos="1935"/>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zh-CN"/>
              </w:rPr>
              <w:t>2</w:t>
            </w:r>
            <w:r>
              <w:rPr>
                <w:rFonts w:ascii="Times New Roman" w:hAnsi="Times New Roman" w:cs="Times New Roman"/>
                <w:sz w:val="20"/>
                <w:szCs w:val="20"/>
              </w:rPr>
              <w:t>6</w:t>
            </w:r>
          </w:p>
        </w:tc>
      </w:tr>
      <w:tr w14:paraId="2674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1" w:type="dxa"/>
            <w:bottom w:w="0" w:type="dxa"/>
            <w:right w:w="13" w:type="dxa"/>
          </w:tblCellMar>
        </w:tblPrEx>
        <w:trPr>
          <w:trHeight w:val="524" w:hRule="atLeast"/>
          <w:jc w:val="center"/>
        </w:trPr>
        <w:tc>
          <w:tcPr>
            <w:tcW w:w="58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73D56693">
            <w:pPr>
              <w:tabs>
                <w:tab w:val="left" w:pos="1935"/>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w:t>
            </w:r>
          </w:p>
        </w:tc>
        <w:tc>
          <w:tcPr>
            <w:tcW w:w="3282" w:type="dxa"/>
            <w:tcBorders>
              <w:top w:val="single" w:color="auto" w:sz="4" w:space="0"/>
              <w:left w:val="single" w:color="auto" w:sz="4" w:space="0"/>
              <w:bottom w:val="single" w:color="auto" w:sz="4" w:space="0"/>
              <w:right w:val="single" w:color="auto" w:sz="4" w:space="0"/>
            </w:tcBorders>
            <w:shd w:val="clear" w:color="auto" w:fill="F7CAAC" w:themeFill="accent2" w:themeFillTint="66"/>
            <w:vAlign w:val="center"/>
          </w:tcPr>
          <w:p w14:paraId="5CCCFB3A">
            <w:pPr>
              <w:tabs>
                <w:tab w:val="left" w:pos="1935"/>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Total</w:t>
            </w:r>
          </w:p>
        </w:tc>
        <w:tc>
          <w:tcPr>
            <w:tcW w:w="1217" w:type="dxa"/>
            <w:tcBorders>
              <w:top w:val="single" w:color="auto" w:sz="4" w:space="0"/>
              <w:left w:val="single" w:color="auto" w:sz="4" w:space="0"/>
              <w:bottom w:val="single" w:color="auto" w:sz="4" w:space="0"/>
              <w:right w:val="single" w:color="auto" w:sz="4" w:space="0"/>
            </w:tcBorders>
            <w:shd w:val="clear" w:color="auto" w:fill="F7CAAC" w:themeFill="accent2" w:themeFillTint="66"/>
            <w:vAlign w:val="center"/>
          </w:tcPr>
          <w:p w14:paraId="3ECEDA94">
            <w:pPr>
              <w:tabs>
                <w:tab w:val="left" w:pos="1935"/>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175</w:t>
            </w:r>
          </w:p>
        </w:tc>
        <w:tc>
          <w:tcPr>
            <w:tcW w:w="1213" w:type="dxa"/>
            <w:tcBorders>
              <w:top w:val="single" w:color="auto" w:sz="4" w:space="0"/>
              <w:left w:val="single" w:color="auto" w:sz="4" w:space="0"/>
              <w:bottom w:val="single" w:color="auto" w:sz="4" w:space="0"/>
              <w:right w:val="single" w:color="auto" w:sz="4" w:space="0"/>
            </w:tcBorders>
            <w:shd w:val="clear" w:color="auto" w:fill="F7CAAC" w:themeFill="accent2" w:themeFillTint="66"/>
            <w:vAlign w:val="center"/>
          </w:tcPr>
          <w:p w14:paraId="20A438EF">
            <w:pPr>
              <w:tabs>
                <w:tab w:val="left" w:pos="1935"/>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158</w:t>
            </w:r>
          </w:p>
        </w:tc>
        <w:tc>
          <w:tcPr>
            <w:tcW w:w="1213" w:type="dxa"/>
            <w:shd w:val="clear" w:color="auto" w:fill="F7CAAC" w:themeFill="accent2" w:themeFillTint="66"/>
            <w:vAlign w:val="center"/>
          </w:tcPr>
          <w:p w14:paraId="5728E225">
            <w:pPr>
              <w:tabs>
                <w:tab w:val="left" w:pos="1935"/>
              </w:tabs>
              <w:spacing w:after="0" w:line="240" w:lineRule="auto"/>
              <w:jc w:val="center"/>
              <w:rPr>
                <w:rFonts w:ascii="Times New Roman" w:hAnsi="Times New Roman" w:cs="Times New Roman"/>
                <w:b/>
                <w:bCs/>
                <w:sz w:val="20"/>
                <w:szCs w:val="20"/>
              </w:rPr>
            </w:pPr>
            <w:r>
              <w:rPr>
                <w:rFonts w:ascii="Times New Roman" w:hAnsi="Times New Roman" w:cs="Times New Roman"/>
                <w:b/>
                <w:sz w:val="20"/>
                <w:szCs w:val="20"/>
              </w:rPr>
              <w:t>160</w:t>
            </w:r>
          </w:p>
        </w:tc>
        <w:tc>
          <w:tcPr>
            <w:tcW w:w="1170" w:type="dxa"/>
            <w:shd w:val="clear" w:color="auto" w:fill="F7CAAC" w:themeFill="accent2" w:themeFillTint="66"/>
            <w:vAlign w:val="center"/>
          </w:tcPr>
          <w:p w14:paraId="56787D8E">
            <w:pPr>
              <w:tabs>
                <w:tab w:val="left" w:pos="1935"/>
              </w:tabs>
              <w:spacing w:after="0" w:line="240" w:lineRule="auto"/>
              <w:jc w:val="center"/>
              <w:rPr>
                <w:rFonts w:ascii="Times New Roman" w:hAnsi="Times New Roman" w:cs="Times New Roman"/>
                <w:b/>
                <w:bCs/>
                <w:sz w:val="20"/>
                <w:szCs w:val="20"/>
              </w:rPr>
            </w:pPr>
            <w:r>
              <w:rPr>
                <w:rFonts w:ascii="Times New Roman" w:hAnsi="Times New Roman" w:cs="Times New Roman"/>
                <w:b/>
                <w:sz w:val="20"/>
                <w:szCs w:val="20"/>
              </w:rPr>
              <w:t>153</w:t>
            </w:r>
          </w:p>
        </w:tc>
        <w:tc>
          <w:tcPr>
            <w:tcW w:w="1260" w:type="dxa"/>
            <w:shd w:val="clear" w:color="auto" w:fill="F7CAAC" w:themeFill="accent2" w:themeFillTint="66"/>
            <w:vAlign w:val="center"/>
          </w:tcPr>
          <w:p w14:paraId="6775A1CD">
            <w:pPr>
              <w:tabs>
                <w:tab w:val="left" w:pos="193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204</w:t>
            </w:r>
          </w:p>
        </w:tc>
        <w:tc>
          <w:tcPr>
            <w:tcW w:w="1350" w:type="dxa"/>
            <w:shd w:val="clear" w:color="auto" w:fill="F7CAAC" w:themeFill="accent2" w:themeFillTint="66"/>
            <w:vAlign w:val="center"/>
          </w:tcPr>
          <w:p w14:paraId="26CD20EC">
            <w:pPr>
              <w:tabs>
                <w:tab w:val="left" w:pos="1935"/>
              </w:tabs>
              <w:spacing w:after="0" w:line="240" w:lineRule="auto"/>
              <w:jc w:val="center"/>
              <w:rPr>
                <w:rFonts w:ascii="Times New Roman" w:hAnsi="Times New Roman" w:cs="Times New Roman"/>
                <w:b/>
                <w:sz w:val="20"/>
                <w:szCs w:val="20"/>
                <w:lang w:val="zh-CN"/>
              </w:rPr>
            </w:pPr>
            <w:r>
              <w:rPr>
                <w:rFonts w:ascii="Times New Roman" w:hAnsi="Times New Roman" w:cs="Times New Roman"/>
                <w:b/>
                <w:sz w:val="20"/>
                <w:szCs w:val="20"/>
                <w:lang w:val="zh-CN"/>
              </w:rPr>
              <w:t>92</w:t>
            </w:r>
          </w:p>
        </w:tc>
      </w:tr>
    </w:tbl>
    <w:p w14:paraId="4D871098"/>
    <w:p w14:paraId="328B591E">
      <w:pPr>
        <w:tabs>
          <w:tab w:val="left" w:pos="1935"/>
        </w:tabs>
        <w:spacing w:line="240" w:lineRule="auto"/>
        <w:jc w:val="both"/>
        <w:rPr>
          <w:rStyle w:val="14"/>
          <w:rFonts w:ascii="Times New Roman" w:hAnsi="Times New Roman" w:cs="Times New Roman"/>
          <w:b/>
          <w:i/>
          <w:sz w:val="20"/>
          <w:szCs w:val="20"/>
        </w:rPr>
      </w:pPr>
      <w:r>
        <w:rPr>
          <w:rStyle w:val="14"/>
          <w:rFonts w:ascii="Times New Roman" w:hAnsi="Times New Roman" w:cs="Times New Roman"/>
          <w:b/>
          <w:i/>
          <w:sz w:val="20"/>
          <w:szCs w:val="20"/>
        </w:rPr>
        <w:t xml:space="preserve">Source: District Planning Co-coordinating Unit, BNDA April -2026 </w:t>
      </w:r>
    </w:p>
    <w:p w14:paraId="26E6B3A9">
      <w:pPr>
        <w:pStyle w:val="4"/>
        <w:spacing w:before="240" w:line="360" w:lineRule="auto"/>
        <w:jc w:val="both"/>
        <w:rPr>
          <w:rFonts w:ascii="Times New Roman" w:hAnsi="Times New Roman" w:cs="Times New Roman"/>
          <w:b/>
          <w:i/>
          <w:color w:val="auto"/>
        </w:rPr>
      </w:pPr>
      <w:bookmarkStart w:id="29" w:name="_Toc230260720"/>
      <w:bookmarkStart w:id="30" w:name="_Toc189219081"/>
      <w:bookmarkStart w:id="31" w:name="_Toc222333858"/>
      <w:r>
        <w:rPr>
          <w:rFonts w:ascii="Times New Roman" w:hAnsi="Times New Roman" w:cs="Times New Roman"/>
          <w:b/>
          <w:i/>
          <w:color w:val="auto"/>
        </w:rPr>
        <w:t xml:space="preserve">1.4.1 </w:t>
      </w:r>
      <w:r>
        <w:rPr>
          <w:rFonts w:ascii="Times New Roman" w:hAnsi="Times New Roman" w:eastAsia="Times New Roman" w:cs="Times New Roman"/>
          <w:b/>
          <w:i/>
          <w:color w:val="auto"/>
        </w:rPr>
        <w:t>Progress on the Implementation of the 2026 Annual Action Plan</w:t>
      </w:r>
      <w:bookmarkEnd w:id="29"/>
      <w:bookmarkEnd w:id="30"/>
      <w:bookmarkEnd w:id="31"/>
    </w:p>
    <w:p w14:paraId="7B87131D">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implementation of the 2026 Annual Action Plan commenced in earnest during the First Quarter of 2026, marking the operationalization of the 2026–2029 Medium-Term Development Plan. During the quarter under review, a total of </w:t>
      </w:r>
      <w:r>
        <w:rPr>
          <w:rFonts w:ascii="Times New Roman" w:hAnsi="Times New Roman" w:eastAsia="Times New Roman" w:cs="Times New Roman"/>
          <w:bCs/>
          <w:sz w:val="24"/>
          <w:szCs w:val="24"/>
          <w:lang w:val="zh-CN"/>
        </w:rPr>
        <w:t>92</w:t>
      </w:r>
      <w:r>
        <w:rPr>
          <w:rFonts w:ascii="Times New Roman" w:hAnsi="Times New Roman" w:eastAsia="Times New Roman" w:cs="Times New Roman"/>
          <w:bCs/>
          <w:sz w:val="24"/>
          <w:szCs w:val="24"/>
        </w:rPr>
        <w:t xml:space="preserve"> activities were implemented out of 204 planned activities</w:t>
      </w:r>
      <w:r>
        <w:rPr>
          <w:rFonts w:ascii="Times New Roman" w:hAnsi="Times New Roman" w:eastAsia="Times New Roman" w:cs="Times New Roman"/>
          <w:sz w:val="24"/>
          <w:szCs w:val="24"/>
        </w:rPr>
        <w:t xml:space="preserve">, representing an overall performance of approximately </w:t>
      </w: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lang w:val="zh-CN"/>
        </w:rPr>
        <w:t>5</w:t>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lang w:val="zh-CN"/>
        </w:rPr>
        <w:t>1</w:t>
      </w:r>
      <w:r>
        <w:rPr>
          <w:rFonts w:ascii="Times New Roman" w:hAnsi="Times New Roman" w:eastAsia="Times New Roman" w:cs="Times New Roman"/>
          <w:bCs/>
          <w:sz w:val="24"/>
          <w:szCs w:val="24"/>
        </w:rPr>
        <w:t>%</w:t>
      </w:r>
      <w:r>
        <w:rPr>
          <w:rFonts w:ascii="Times New Roman" w:hAnsi="Times New Roman" w:eastAsia="Times New Roman" w:cs="Times New Roman"/>
          <w:sz w:val="24"/>
          <w:szCs w:val="24"/>
        </w:rPr>
        <w:t>. This reflects an initial implementation phase where activities were largely at commencement, mobilization, and early execution stages across all development dimensions.</w:t>
      </w:r>
    </w:p>
    <w:p w14:paraId="07F52CA2">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terms of </w:t>
      </w:r>
      <w:r>
        <w:rPr>
          <w:rFonts w:ascii="Times New Roman" w:hAnsi="Times New Roman" w:eastAsia="Times New Roman" w:cs="Times New Roman"/>
          <w:bCs/>
          <w:sz w:val="24"/>
          <w:szCs w:val="24"/>
        </w:rPr>
        <w:t>Economic Development</w:t>
      </w:r>
      <w:r>
        <w:rPr>
          <w:rFonts w:ascii="Times New Roman" w:hAnsi="Times New Roman" w:eastAsia="Times New Roman" w:cs="Times New Roman"/>
          <w:sz w:val="24"/>
          <w:szCs w:val="24"/>
        </w:rPr>
        <w:t xml:space="preserve">, 15 out of 33 planned activities were implemented, representing approximately </w:t>
      </w:r>
      <w:r>
        <w:rPr>
          <w:rFonts w:ascii="Times New Roman" w:hAnsi="Times New Roman" w:eastAsia="Times New Roman" w:cs="Times New Roman"/>
          <w:bCs/>
          <w:sz w:val="24"/>
          <w:szCs w:val="24"/>
        </w:rPr>
        <w:t>45.5% performance</w:t>
      </w:r>
      <w:r>
        <w:rPr>
          <w:rFonts w:ascii="Times New Roman" w:hAnsi="Times New Roman" w:eastAsia="Times New Roman" w:cs="Times New Roman"/>
          <w:sz w:val="24"/>
          <w:szCs w:val="24"/>
        </w:rPr>
        <w:t>. This indicates moderate progress in economic-related interventions, particularly in local economic development, revenue mobilization, and support to productive sectors.</w:t>
      </w:r>
    </w:p>
    <w:p w14:paraId="708F59B6">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Under the </w:t>
      </w:r>
      <w:r>
        <w:rPr>
          <w:rFonts w:ascii="Times New Roman" w:hAnsi="Times New Roman" w:eastAsia="Times New Roman" w:cs="Times New Roman"/>
          <w:bCs/>
          <w:sz w:val="24"/>
          <w:szCs w:val="24"/>
        </w:rPr>
        <w:t>Social Development</w:t>
      </w:r>
      <w:r>
        <w:rPr>
          <w:rFonts w:ascii="Times New Roman" w:hAnsi="Times New Roman" w:eastAsia="Times New Roman" w:cs="Times New Roman"/>
          <w:sz w:val="24"/>
          <w:szCs w:val="24"/>
        </w:rPr>
        <w:t xml:space="preserve"> dimension, </w:t>
      </w:r>
      <w:r>
        <w:rPr>
          <w:rFonts w:ascii="Times New Roman" w:hAnsi="Times New Roman" w:eastAsia="Times New Roman" w:cs="Times New Roman"/>
          <w:sz w:val="24"/>
          <w:szCs w:val="24"/>
          <w:lang w:val="zh-CN"/>
        </w:rPr>
        <w:t>40</w:t>
      </w:r>
      <w:r>
        <w:rPr>
          <w:rFonts w:ascii="Times New Roman" w:hAnsi="Times New Roman" w:eastAsia="Times New Roman" w:cs="Times New Roman"/>
          <w:sz w:val="24"/>
          <w:szCs w:val="24"/>
        </w:rPr>
        <w:t xml:space="preserve"> out of 76 planned activities were implemented, reflecting a performance level of approximately </w:t>
      </w:r>
      <w:r>
        <w:rPr>
          <w:rFonts w:ascii="Times New Roman" w:hAnsi="Times New Roman" w:eastAsia="Times New Roman" w:cs="Times New Roman"/>
          <w:bCs/>
          <w:sz w:val="24"/>
          <w:szCs w:val="24"/>
          <w:lang w:val="zh-CN"/>
        </w:rPr>
        <w:t>52.6</w:t>
      </w:r>
      <w:r>
        <w:rPr>
          <w:rFonts w:ascii="Times New Roman" w:hAnsi="Times New Roman" w:eastAsia="Times New Roman" w:cs="Times New Roman"/>
          <w:bCs/>
          <w:sz w:val="24"/>
          <w:szCs w:val="24"/>
        </w:rPr>
        <w:t>%</w:t>
      </w:r>
      <w:r>
        <w:rPr>
          <w:rFonts w:ascii="Times New Roman" w:hAnsi="Times New Roman" w:eastAsia="Times New Roman" w:cs="Times New Roman"/>
          <w:sz w:val="24"/>
          <w:szCs w:val="24"/>
        </w:rPr>
        <w:t xml:space="preserve">. This represents an improved execution rate compared to earlier projections. The </w:t>
      </w:r>
      <w:r>
        <w:rPr>
          <w:rFonts w:ascii="Times New Roman" w:hAnsi="Times New Roman" w:eastAsia="Times New Roman" w:cs="Times New Roman"/>
          <w:sz w:val="24"/>
          <w:szCs w:val="24"/>
          <w:lang w:val="zh-CN"/>
        </w:rPr>
        <w:t xml:space="preserve">improved </w:t>
      </w:r>
      <w:r>
        <w:rPr>
          <w:rFonts w:ascii="Times New Roman" w:hAnsi="Times New Roman" w:eastAsia="Times New Roman" w:cs="Times New Roman"/>
          <w:sz w:val="24"/>
          <w:szCs w:val="24"/>
        </w:rPr>
        <w:t xml:space="preserve">progress is largely driven by active, ongoing interventions across key education, health, </w:t>
      </w:r>
      <w:r>
        <w:rPr>
          <w:rFonts w:ascii="Times New Roman" w:hAnsi="Times New Roman" w:eastAsia="Times New Roman" w:cs="Times New Roman"/>
          <w:sz w:val="24"/>
          <w:szCs w:val="24"/>
          <w:lang w:val="zh-CN"/>
        </w:rPr>
        <w:t xml:space="preserve">environmental health </w:t>
      </w:r>
      <w:r>
        <w:rPr>
          <w:rFonts w:ascii="Times New Roman" w:hAnsi="Times New Roman" w:eastAsia="Times New Roman" w:cs="Times New Roman"/>
          <w:sz w:val="24"/>
          <w:szCs w:val="24"/>
        </w:rPr>
        <w:t>and social protection programs.</w:t>
      </w:r>
    </w:p>
    <w:p w14:paraId="5E2C4505">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w:t>
      </w:r>
      <w:r>
        <w:rPr>
          <w:rFonts w:ascii="Times New Roman" w:hAnsi="Times New Roman" w:eastAsia="Times New Roman" w:cs="Times New Roman"/>
          <w:bCs/>
          <w:sz w:val="24"/>
          <w:szCs w:val="24"/>
        </w:rPr>
        <w:t>Environment, Infrastructure and Human Settlement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zh-CN"/>
        </w:rPr>
        <w:t>11</w:t>
      </w:r>
      <w:r>
        <w:rPr>
          <w:rFonts w:ascii="Times New Roman" w:hAnsi="Times New Roman" w:eastAsia="Times New Roman" w:cs="Times New Roman"/>
          <w:sz w:val="24"/>
          <w:szCs w:val="24"/>
        </w:rPr>
        <w:t xml:space="preserve"> out of </w:t>
      </w:r>
      <w:r>
        <w:rPr>
          <w:rFonts w:ascii="Times New Roman" w:hAnsi="Times New Roman" w:eastAsia="Times New Roman" w:cs="Times New Roman"/>
          <w:sz w:val="24"/>
          <w:szCs w:val="24"/>
          <w:lang w:val="zh-CN"/>
        </w:rPr>
        <w:t>39</w:t>
      </w:r>
      <w:r>
        <w:rPr>
          <w:rFonts w:ascii="Times New Roman" w:hAnsi="Times New Roman" w:eastAsia="Times New Roman" w:cs="Times New Roman"/>
          <w:sz w:val="24"/>
          <w:szCs w:val="24"/>
        </w:rPr>
        <w:t xml:space="preserve"> planned activities were implemented, representing about </w:t>
      </w:r>
      <w:r>
        <w:rPr>
          <w:rFonts w:ascii="Times New Roman" w:hAnsi="Times New Roman" w:eastAsia="Times New Roman" w:cs="Times New Roman"/>
          <w:bCs/>
          <w:sz w:val="24"/>
          <w:szCs w:val="24"/>
          <w:lang w:val="zh-CN"/>
        </w:rPr>
        <w:t>28</w:t>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lang w:val="zh-CN"/>
        </w:rPr>
        <w:t>2</w:t>
      </w:r>
      <w:r>
        <w:rPr>
          <w:rFonts w:ascii="Times New Roman" w:hAnsi="Times New Roman" w:eastAsia="Times New Roman" w:cs="Times New Roman"/>
          <w:bCs/>
          <w:sz w:val="24"/>
          <w:szCs w:val="24"/>
        </w:rPr>
        <w:t>% performance</w:t>
      </w:r>
      <w:r>
        <w:rPr>
          <w:rFonts w:ascii="Times New Roman" w:hAnsi="Times New Roman" w:eastAsia="Times New Roman" w:cs="Times New Roman"/>
          <w:sz w:val="24"/>
          <w:szCs w:val="24"/>
        </w:rPr>
        <w:t xml:space="preserve">. The lower implementation rate is primarily due to the early-stage nature of these infrastructure projects, with many still transitioning through procurement and mobilization phases. Additionally, it reflects a gradual rollout of critical preparedness and response interventions </w:t>
      </w:r>
      <w:r>
        <w:rPr>
          <w:rFonts w:ascii="Times New Roman" w:hAnsi="Times New Roman" w:eastAsia="Times New Roman" w:cs="Times New Roman"/>
          <w:sz w:val="24"/>
          <w:szCs w:val="24"/>
          <w:lang w:val="zh-CN"/>
        </w:rPr>
        <w:t xml:space="preserve">during </w:t>
      </w:r>
      <w:r>
        <w:rPr>
          <w:rFonts w:ascii="Times New Roman" w:hAnsi="Times New Roman" w:eastAsia="Times New Roman" w:cs="Times New Roman"/>
          <w:sz w:val="24"/>
          <w:szCs w:val="24"/>
        </w:rPr>
        <w:t>the quarter.</w:t>
      </w:r>
    </w:p>
    <w:p w14:paraId="401BDBE8">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Governance</w:t>
      </w:r>
      <w:r>
        <w:rPr>
          <w:rFonts w:ascii="Times New Roman" w:hAnsi="Times New Roman" w:eastAsia="Times New Roman" w:cs="Times New Roman"/>
          <w:bCs/>
          <w:sz w:val="24"/>
          <w:szCs w:val="24"/>
          <w:lang w:val="zh-CN"/>
        </w:rPr>
        <w:t>,</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zh-CN"/>
        </w:rPr>
        <w:t>and Institutional Development</w:t>
      </w:r>
      <w:r>
        <w:rPr>
          <w:rFonts w:ascii="Times New Roman" w:hAnsi="Times New Roman" w:eastAsia="Times New Roman" w:cs="Times New Roman"/>
          <w:sz w:val="24"/>
          <w:szCs w:val="24"/>
        </w:rPr>
        <w:t xml:space="preserve"> dimension recorded </w:t>
      </w:r>
      <w:r>
        <w:rPr>
          <w:rFonts w:ascii="Times New Roman" w:hAnsi="Times New Roman" w:eastAsia="Times New Roman" w:cs="Times New Roman"/>
          <w:sz w:val="24"/>
          <w:szCs w:val="24"/>
          <w:lang w:val="zh-CN"/>
        </w:rPr>
        <w:t>2</w:t>
      </w:r>
      <w:r>
        <w:rPr>
          <w:rFonts w:ascii="Times New Roman" w:hAnsi="Times New Roman" w:eastAsia="Times New Roman" w:cs="Times New Roman"/>
          <w:sz w:val="24"/>
          <w:szCs w:val="24"/>
        </w:rPr>
        <w:t xml:space="preserve">6 out of </w:t>
      </w:r>
      <w:r>
        <w:rPr>
          <w:rFonts w:ascii="Times New Roman" w:hAnsi="Times New Roman" w:eastAsia="Times New Roman" w:cs="Times New Roman"/>
          <w:sz w:val="24"/>
          <w:szCs w:val="24"/>
          <w:lang w:val="zh-CN"/>
        </w:rPr>
        <w:t>46</w:t>
      </w:r>
      <w:r>
        <w:rPr>
          <w:rFonts w:ascii="Times New Roman" w:hAnsi="Times New Roman" w:eastAsia="Times New Roman" w:cs="Times New Roman"/>
          <w:sz w:val="24"/>
          <w:szCs w:val="24"/>
        </w:rPr>
        <w:t xml:space="preserve"> planned activities implemented, representing approximately </w:t>
      </w: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lang w:val="zh-CN"/>
        </w:rPr>
        <w:t>6</w:t>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lang w:val="zh-CN"/>
        </w:rPr>
        <w:t>5</w:t>
      </w:r>
      <w:r>
        <w:rPr>
          <w:rFonts w:ascii="Times New Roman" w:hAnsi="Times New Roman" w:eastAsia="Times New Roman" w:cs="Times New Roman"/>
          <w:bCs/>
          <w:sz w:val="24"/>
          <w:szCs w:val="24"/>
        </w:rPr>
        <w:t>% performance</w:t>
      </w:r>
      <w:r>
        <w:rPr>
          <w:rFonts w:ascii="Times New Roman" w:hAnsi="Times New Roman" w:eastAsia="Times New Roman" w:cs="Times New Roman"/>
          <w:sz w:val="24"/>
          <w:szCs w:val="24"/>
        </w:rPr>
        <w:t>. This relatively strong progress highlights solid advancements in strengthening governance systems, administrative coordination, and accountability measures. It also reflects the success of sustained efforts in monitoring, coordination, and reporting to ensure effective project delivery.</w:t>
      </w:r>
    </w:p>
    <w:p w14:paraId="5BB7640F">
      <w:pPr>
        <w:spacing w:before="100" w:beforeAutospacing="1" w:after="100" w:afterAutospacing="1" w:line="360" w:lineRule="auto"/>
        <w:jc w:val="both"/>
        <w:rPr>
          <w:rFonts w:ascii="Times New Roman" w:hAnsi="Times New Roman" w:eastAsia="Times New Roman" w:cs="Times New Roman"/>
          <w:sz w:val="24"/>
          <w:szCs w:val="24"/>
        </w:rPr>
      </w:pPr>
    </w:p>
    <w:p w14:paraId="30B9C5F4">
      <w:pPr>
        <w:spacing w:before="100" w:beforeAutospacing="1" w:after="100" w:afterAutospacing="1" w:line="360" w:lineRule="auto"/>
        <w:jc w:val="both"/>
        <w:rPr>
          <w:rFonts w:ascii="Times New Roman" w:hAnsi="Times New Roman" w:eastAsia="Times New Roman" w:cs="Times New Roman"/>
          <w:sz w:val="24"/>
          <w:szCs w:val="24"/>
        </w:rPr>
      </w:pPr>
    </w:p>
    <w:p w14:paraId="47C897B1">
      <w:pPr>
        <w:spacing w:before="100" w:beforeAutospacing="1" w:after="100" w:afterAutospacing="1" w:line="360" w:lineRule="auto"/>
        <w:jc w:val="both"/>
        <w:rPr>
          <w:rFonts w:ascii="Times New Roman" w:hAnsi="Times New Roman" w:eastAsia="Times New Roman" w:cs="Times New Roman"/>
          <w:sz w:val="24"/>
          <w:szCs w:val="24"/>
        </w:rPr>
      </w:pPr>
    </w:p>
    <w:p w14:paraId="32283976">
      <w:pPr>
        <w:spacing w:before="100" w:beforeAutospacing="1" w:after="100" w:afterAutospacing="1" w:line="360" w:lineRule="auto"/>
        <w:jc w:val="both"/>
        <w:rPr>
          <w:rFonts w:ascii="Times New Roman" w:hAnsi="Times New Roman" w:eastAsia="Times New Roman" w:cs="Times New Roman"/>
          <w:sz w:val="24"/>
          <w:szCs w:val="24"/>
        </w:rPr>
      </w:pPr>
    </w:p>
    <w:p w14:paraId="203B87EF">
      <w:pPr>
        <w:spacing w:before="100" w:beforeAutospacing="1" w:after="100" w:afterAutospacing="1" w:line="360" w:lineRule="auto"/>
        <w:jc w:val="both"/>
        <w:rPr>
          <w:rFonts w:ascii="Times New Roman" w:hAnsi="Times New Roman" w:eastAsia="Times New Roman" w:cs="Times New Roman"/>
          <w:sz w:val="24"/>
          <w:szCs w:val="24"/>
        </w:rPr>
      </w:pPr>
    </w:p>
    <w:p w14:paraId="58756B54">
      <w:pPr>
        <w:pStyle w:val="8"/>
        <w:keepNext/>
        <w:jc w:val="both"/>
        <w:rPr>
          <w:color w:val="auto"/>
        </w:rPr>
      </w:pPr>
      <w:bookmarkStart w:id="32" w:name="_Toc229970869"/>
      <w:r>
        <w:rPr>
          <w:color w:val="auto"/>
        </w:rPr>
        <w:drawing>
          <wp:anchor distT="0" distB="0" distL="114300" distR="114300" simplePos="0" relativeHeight="251677696" behindDoc="0" locked="0" layoutInCell="1" allowOverlap="1">
            <wp:simplePos x="0" y="0"/>
            <wp:positionH relativeFrom="margin">
              <wp:align>left</wp:align>
            </wp:positionH>
            <wp:positionV relativeFrom="paragraph">
              <wp:posOffset>194310</wp:posOffset>
            </wp:positionV>
            <wp:extent cx="6821805" cy="3702050"/>
            <wp:effectExtent l="0" t="0" r="17145" b="12700"/>
            <wp:wrapSquare wrapText="bothSides"/>
            <wp:docPr id="160533325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End w:id="32"/>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w:t>
      </w:r>
      <w:r>
        <w:rPr>
          <w:color w:val="auto"/>
        </w:rPr>
        <w:fldChar w:fldCharType="end"/>
      </w:r>
      <w:r>
        <w:rPr>
          <w:color w:val="auto"/>
        </w:rPr>
        <w:t>: IMPLEMENTATION OF THE 2026 AAP BASE ON DIMENSSIONS</w:t>
      </w:r>
    </w:p>
    <w:p w14:paraId="32D9CA92">
      <w:pPr>
        <w:pStyle w:val="8"/>
        <w:keepNext/>
        <w:jc w:val="both"/>
        <w:rPr>
          <w:color w:val="auto"/>
        </w:rPr>
      </w:pPr>
    </w:p>
    <w:p w14:paraId="56156A51">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summary, the First Quarter performance demonstrates a </w:t>
      </w:r>
      <w:r>
        <w:rPr>
          <w:rFonts w:ascii="Times New Roman" w:hAnsi="Times New Roman" w:eastAsia="Times New Roman" w:cs="Times New Roman"/>
          <w:bCs/>
          <w:sz w:val="24"/>
          <w:szCs w:val="24"/>
        </w:rPr>
        <w:t>moderate-to-strong level of implementation (4</w:t>
      </w:r>
      <w:r>
        <w:rPr>
          <w:rFonts w:ascii="Times New Roman" w:hAnsi="Times New Roman" w:eastAsia="Times New Roman" w:cs="Times New Roman"/>
          <w:bCs/>
          <w:sz w:val="24"/>
          <w:szCs w:val="24"/>
          <w:lang w:val="zh-CN"/>
        </w:rPr>
        <w:t>5</w:t>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lang w:val="zh-CN"/>
        </w:rPr>
        <w:t>1</w:t>
      </w:r>
      <w:r>
        <w:rPr>
          <w:rFonts w:ascii="Times New Roman" w:hAnsi="Times New Roman" w:eastAsia="Times New Roman" w:cs="Times New Roman"/>
          <w:bCs/>
          <w:sz w:val="24"/>
          <w:szCs w:val="24"/>
        </w:rPr>
        <w:t>%)</w:t>
      </w:r>
      <w:r>
        <w:rPr>
          <w:rFonts w:ascii="Times New Roman" w:hAnsi="Times New Roman" w:eastAsia="Times New Roman" w:cs="Times New Roman"/>
          <w:sz w:val="24"/>
          <w:szCs w:val="24"/>
        </w:rPr>
        <w:t>, which is expected at the beginning of the planning cycle. Variations across development dimensions are largely due to differences in project readiness, funding release timelines, and procurement processes.</w:t>
      </w:r>
    </w:p>
    <w:p w14:paraId="0E9C7B86">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It is anticipated that implementation performance will improve significantly in subsequent quarters as ongoing projects progress from mobilization to full execution stages.</w:t>
      </w:r>
    </w:p>
    <w:p w14:paraId="243B6BD8">
      <w:pPr>
        <w:pBdr>
          <w:top w:val="single" w:color="auto" w:sz="6" w:space="1"/>
        </w:pBdr>
        <w:spacing w:after="0" w:line="360" w:lineRule="auto"/>
        <w:jc w:val="center"/>
        <w:rPr>
          <w:rFonts w:ascii="Times New Roman" w:hAnsi="Times New Roman" w:eastAsia="Times New Roman" w:cs="Times New Roman"/>
          <w:b/>
          <w:bCs/>
          <w:vanish/>
          <w:sz w:val="24"/>
          <w:szCs w:val="24"/>
        </w:rPr>
      </w:pPr>
      <w:r>
        <w:rPr>
          <w:rFonts w:ascii="Times New Roman" w:hAnsi="Times New Roman" w:eastAsia="Times New Roman" w:cs="Times New Roman"/>
          <w:b/>
          <w:bCs/>
          <w:vanish/>
          <w:sz w:val="24"/>
          <w:szCs w:val="24"/>
        </w:rPr>
        <w:t>Bottom of Form</w:t>
      </w:r>
    </w:p>
    <w:p w14:paraId="04C92E2B">
      <w:pPr>
        <w:pStyle w:val="8"/>
        <w:keepNext/>
        <w:spacing w:before="240"/>
        <w:rPr>
          <w:b/>
          <w:color w:val="auto"/>
          <w:sz w:val="20"/>
          <w:szCs w:val="20"/>
        </w:rPr>
      </w:pPr>
      <w:bookmarkStart w:id="33" w:name="_Toc229970428"/>
      <w:r>
        <w:rPr>
          <w:b/>
          <w:color w:val="auto"/>
          <w:sz w:val="20"/>
          <w:szCs w:val="20"/>
        </w:rPr>
        <w:t xml:space="preserve">Table </w:t>
      </w:r>
      <w:r>
        <w:rPr>
          <w:b/>
          <w:color w:val="auto"/>
          <w:sz w:val="20"/>
          <w:szCs w:val="20"/>
        </w:rPr>
        <w:fldChar w:fldCharType="begin"/>
      </w:r>
      <w:r>
        <w:rPr>
          <w:b/>
          <w:color w:val="auto"/>
          <w:sz w:val="20"/>
          <w:szCs w:val="20"/>
        </w:rPr>
        <w:instrText xml:space="preserve"> SEQ Table \* ARABIC </w:instrText>
      </w:r>
      <w:r>
        <w:rPr>
          <w:b/>
          <w:color w:val="auto"/>
          <w:sz w:val="20"/>
          <w:szCs w:val="20"/>
        </w:rPr>
        <w:fldChar w:fldCharType="separate"/>
      </w:r>
      <w:r>
        <w:rPr>
          <w:b/>
          <w:color w:val="auto"/>
          <w:sz w:val="20"/>
          <w:szCs w:val="20"/>
        </w:rPr>
        <w:t>2</w:t>
      </w:r>
      <w:r>
        <w:rPr>
          <w:b/>
          <w:color w:val="auto"/>
          <w:sz w:val="20"/>
          <w:szCs w:val="20"/>
        </w:rPr>
        <w:fldChar w:fldCharType="end"/>
      </w:r>
      <w:r>
        <w:rPr>
          <w:b/>
          <w:color w:val="auto"/>
          <w:sz w:val="20"/>
          <w:szCs w:val="20"/>
        </w:rPr>
        <w:t>: Quarterly Implementation of Planned Activities as at First Quarter 2026</w:t>
      </w:r>
      <w:bookmarkEnd w:id="33"/>
    </w:p>
    <w:tbl>
      <w:tblPr>
        <w:tblStyle w:val="6"/>
        <w:tblW w:w="11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5"/>
        <w:gridCol w:w="2830"/>
        <w:gridCol w:w="1101"/>
        <w:gridCol w:w="1102"/>
        <w:gridCol w:w="940"/>
        <w:gridCol w:w="950"/>
        <w:gridCol w:w="803"/>
        <w:gridCol w:w="803"/>
        <w:gridCol w:w="961"/>
        <w:gridCol w:w="1350"/>
      </w:tblGrid>
      <w:tr w14:paraId="162D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85" w:type="dxa"/>
            <w:shd w:val="clear" w:color="auto" w:fill="9CC2E5" w:themeFill="accent1" w:themeFillTint="99"/>
            <w:vAlign w:val="center"/>
          </w:tcPr>
          <w:p w14:paraId="34FCD3E8">
            <w:pPr>
              <w:pStyle w:val="26"/>
              <w:jc w:val="center"/>
              <w:rPr>
                <w:rFonts w:eastAsiaTheme="majorEastAsia"/>
                <w:b/>
                <w:bCs/>
                <w:sz w:val="20"/>
                <w:szCs w:val="20"/>
              </w:rPr>
            </w:pPr>
            <w:bookmarkStart w:id="34" w:name="_Hlk230103656"/>
            <w:r>
              <w:rPr>
                <w:rFonts w:eastAsiaTheme="majorEastAsia"/>
                <w:b/>
                <w:bCs/>
                <w:sz w:val="20"/>
                <w:szCs w:val="20"/>
              </w:rPr>
              <w:t>S/N</w:t>
            </w:r>
          </w:p>
        </w:tc>
        <w:tc>
          <w:tcPr>
            <w:tcW w:w="2830" w:type="dxa"/>
            <w:shd w:val="clear" w:color="auto" w:fill="9CC2E5" w:themeFill="accent1" w:themeFillTint="99"/>
            <w:tcMar>
              <w:top w:w="15" w:type="dxa"/>
              <w:left w:w="108" w:type="dxa"/>
              <w:bottom w:w="0" w:type="dxa"/>
              <w:right w:w="108" w:type="dxa"/>
            </w:tcMar>
            <w:vAlign w:val="center"/>
          </w:tcPr>
          <w:p w14:paraId="625A2C2B">
            <w:pPr>
              <w:pStyle w:val="26"/>
              <w:jc w:val="center"/>
              <w:rPr>
                <w:rFonts w:eastAsiaTheme="majorEastAsia"/>
                <w:b/>
                <w:sz w:val="20"/>
                <w:szCs w:val="20"/>
              </w:rPr>
            </w:pPr>
            <w:r>
              <w:rPr>
                <w:rFonts w:eastAsiaTheme="majorEastAsia"/>
                <w:b/>
                <w:bCs/>
                <w:sz w:val="20"/>
                <w:szCs w:val="20"/>
              </w:rPr>
              <w:t>Indicators</w:t>
            </w:r>
          </w:p>
        </w:tc>
        <w:tc>
          <w:tcPr>
            <w:tcW w:w="1101" w:type="dxa"/>
            <w:shd w:val="clear" w:color="auto" w:fill="9CC2E5" w:themeFill="accent1" w:themeFillTint="99"/>
            <w:tcMar>
              <w:top w:w="15" w:type="dxa"/>
              <w:left w:w="108" w:type="dxa"/>
              <w:bottom w:w="0" w:type="dxa"/>
              <w:right w:w="108" w:type="dxa"/>
            </w:tcMar>
            <w:vAlign w:val="center"/>
          </w:tcPr>
          <w:p w14:paraId="385D5300">
            <w:pPr>
              <w:pStyle w:val="26"/>
              <w:jc w:val="center"/>
              <w:rPr>
                <w:rFonts w:eastAsiaTheme="majorEastAsia"/>
                <w:b/>
                <w:sz w:val="20"/>
                <w:szCs w:val="20"/>
              </w:rPr>
            </w:pPr>
            <w:r>
              <w:rPr>
                <w:rFonts w:eastAsiaTheme="majorEastAsia"/>
                <w:b/>
                <w:bCs/>
                <w:sz w:val="20"/>
                <w:szCs w:val="20"/>
              </w:rPr>
              <w:t>Baseline</w:t>
            </w:r>
          </w:p>
          <w:p w14:paraId="6F45F79F">
            <w:pPr>
              <w:pStyle w:val="26"/>
              <w:jc w:val="center"/>
              <w:rPr>
                <w:rFonts w:eastAsiaTheme="majorEastAsia"/>
                <w:b/>
                <w:sz w:val="20"/>
                <w:szCs w:val="20"/>
              </w:rPr>
            </w:pPr>
            <w:r>
              <w:rPr>
                <w:rFonts w:eastAsiaTheme="majorEastAsia"/>
                <w:b/>
                <w:bCs/>
                <w:sz w:val="20"/>
                <w:szCs w:val="20"/>
              </w:rPr>
              <w:t>2022</w:t>
            </w:r>
          </w:p>
        </w:tc>
        <w:tc>
          <w:tcPr>
            <w:tcW w:w="1102" w:type="dxa"/>
            <w:shd w:val="clear" w:color="auto" w:fill="9CC2E5" w:themeFill="accent1" w:themeFillTint="99"/>
            <w:tcMar>
              <w:top w:w="15" w:type="dxa"/>
              <w:left w:w="108" w:type="dxa"/>
              <w:bottom w:w="0" w:type="dxa"/>
              <w:right w:w="108" w:type="dxa"/>
            </w:tcMar>
            <w:vAlign w:val="center"/>
          </w:tcPr>
          <w:p w14:paraId="6A3979AF">
            <w:pPr>
              <w:pStyle w:val="26"/>
              <w:jc w:val="center"/>
              <w:rPr>
                <w:rFonts w:eastAsiaTheme="majorEastAsia"/>
                <w:b/>
                <w:sz w:val="20"/>
                <w:szCs w:val="20"/>
              </w:rPr>
            </w:pPr>
            <w:r>
              <w:rPr>
                <w:rFonts w:eastAsiaTheme="majorEastAsia"/>
                <w:b/>
                <w:bCs/>
                <w:sz w:val="20"/>
                <w:szCs w:val="20"/>
              </w:rPr>
              <w:t>Actual</w:t>
            </w:r>
          </w:p>
          <w:p w14:paraId="39FE1035">
            <w:pPr>
              <w:pStyle w:val="26"/>
              <w:jc w:val="center"/>
              <w:rPr>
                <w:rFonts w:eastAsiaTheme="majorEastAsia"/>
                <w:b/>
                <w:sz w:val="20"/>
                <w:szCs w:val="20"/>
              </w:rPr>
            </w:pPr>
            <w:r>
              <w:rPr>
                <w:rFonts w:eastAsiaTheme="majorEastAsia"/>
                <w:b/>
                <w:bCs/>
                <w:sz w:val="20"/>
                <w:szCs w:val="20"/>
              </w:rPr>
              <w:t>2023</w:t>
            </w:r>
          </w:p>
        </w:tc>
        <w:tc>
          <w:tcPr>
            <w:tcW w:w="940" w:type="dxa"/>
            <w:shd w:val="clear" w:color="auto" w:fill="9CC2E5" w:themeFill="accent1" w:themeFillTint="99"/>
            <w:vAlign w:val="center"/>
          </w:tcPr>
          <w:p w14:paraId="62C08EBA">
            <w:pPr>
              <w:pStyle w:val="26"/>
              <w:jc w:val="center"/>
              <w:rPr>
                <w:rFonts w:eastAsiaTheme="majorEastAsia"/>
                <w:b/>
                <w:sz w:val="20"/>
                <w:szCs w:val="20"/>
              </w:rPr>
            </w:pPr>
            <w:r>
              <w:rPr>
                <w:rFonts w:eastAsiaTheme="majorEastAsia"/>
                <w:b/>
                <w:bCs/>
                <w:sz w:val="20"/>
                <w:szCs w:val="20"/>
              </w:rPr>
              <w:t>Target</w:t>
            </w:r>
          </w:p>
          <w:p w14:paraId="10306EBC">
            <w:pPr>
              <w:pStyle w:val="26"/>
              <w:jc w:val="center"/>
              <w:rPr>
                <w:rFonts w:eastAsiaTheme="majorEastAsia"/>
                <w:b/>
                <w:sz w:val="20"/>
                <w:szCs w:val="20"/>
              </w:rPr>
            </w:pPr>
            <w:r>
              <w:rPr>
                <w:rFonts w:eastAsiaTheme="majorEastAsia"/>
                <w:b/>
                <w:bCs/>
                <w:sz w:val="20"/>
                <w:szCs w:val="20"/>
              </w:rPr>
              <w:t>2024</w:t>
            </w:r>
          </w:p>
        </w:tc>
        <w:tc>
          <w:tcPr>
            <w:tcW w:w="950" w:type="dxa"/>
            <w:shd w:val="clear" w:color="auto" w:fill="9CC2E5" w:themeFill="accent1" w:themeFillTint="99"/>
            <w:vAlign w:val="center"/>
          </w:tcPr>
          <w:p w14:paraId="2D14CAC2">
            <w:pPr>
              <w:pStyle w:val="26"/>
              <w:jc w:val="center"/>
              <w:rPr>
                <w:rFonts w:eastAsiaTheme="majorEastAsia"/>
                <w:b/>
                <w:sz w:val="20"/>
                <w:szCs w:val="20"/>
              </w:rPr>
            </w:pPr>
            <w:r>
              <w:rPr>
                <w:rFonts w:eastAsiaTheme="majorEastAsia"/>
                <w:b/>
                <w:bCs/>
                <w:sz w:val="20"/>
                <w:szCs w:val="20"/>
              </w:rPr>
              <w:t>Actual</w:t>
            </w:r>
          </w:p>
          <w:p w14:paraId="11B3519E">
            <w:pPr>
              <w:pStyle w:val="26"/>
              <w:jc w:val="center"/>
              <w:rPr>
                <w:rFonts w:eastAsiaTheme="majorEastAsia"/>
                <w:b/>
                <w:sz w:val="20"/>
                <w:szCs w:val="20"/>
              </w:rPr>
            </w:pPr>
            <w:r>
              <w:rPr>
                <w:rFonts w:eastAsiaTheme="majorEastAsia"/>
                <w:b/>
                <w:bCs/>
                <w:sz w:val="20"/>
                <w:szCs w:val="20"/>
              </w:rPr>
              <w:t>2024</w:t>
            </w:r>
          </w:p>
        </w:tc>
        <w:tc>
          <w:tcPr>
            <w:tcW w:w="803" w:type="dxa"/>
            <w:shd w:val="clear" w:color="auto" w:fill="9CC2E5" w:themeFill="accent1" w:themeFillTint="99"/>
            <w:vAlign w:val="center"/>
          </w:tcPr>
          <w:p w14:paraId="274EC569">
            <w:pPr>
              <w:pStyle w:val="26"/>
              <w:jc w:val="center"/>
              <w:rPr>
                <w:rFonts w:eastAsiaTheme="majorEastAsia"/>
                <w:b/>
                <w:sz w:val="20"/>
                <w:szCs w:val="20"/>
              </w:rPr>
            </w:pPr>
            <w:r>
              <w:rPr>
                <w:rFonts w:eastAsiaTheme="majorEastAsia"/>
                <w:b/>
                <w:bCs/>
                <w:sz w:val="20"/>
                <w:szCs w:val="20"/>
              </w:rPr>
              <w:t>Target</w:t>
            </w:r>
          </w:p>
          <w:p w14:paraId="13F80AAA">
            <w:pPr>
              <w:pStyle w:val="26"/>
              <w:jc w:val="center"/>
              <w:rPr>
                <w:rFonts w:eastAsiaTheme="majorEastAsia"/>
                <w:b/>
                <w:bCs/>
                <w:sz w:val="20"/>
                <w:szCs w:val="20"/>
              </w:rPr>
            </w:pPr>
            <w:r>
              <w:rPr>
                <w:rFonts w:eastAsiaTheme="majorEastAsia"/>
                <w:b/>
                <w:bCs/>
                <w:sz w:val="20"/>
                <w:szCs w:val="20"/>
              </w:rPr>
              <w:t>2025</w:t>
            </w:r>
          </w:p>
        </w:tc>
        <w:tc>
          <w:tcPr>
            <w:tcW w:w="803" w:type="dxa"/>
            <w:shd w:val="clear" w:color="auto" w:fill="9CC2E5" w:themeFill="accent1" w:themeFillTint="99"/>
            <w:vAlign w:val="center"/>
          </w:tcPr>
          <w:p w14:paraId="2DBDD41B">
            <w:pPr>
              <w:pStyle w:val="26"/>
              <w:jc w:val="center"/>
              <w:rPr>
                <w:rFonts w:eastAsiaTheme="majorEastAsia"/>
                <w:b/>
                <w:sz w:val="20"/>
                <w:szCs w:val="20"/>
              </w:rPr>
            </w:pPr>
            <w:r>
              <w:rPr>
                <w:rFonts w:eastAsiaTheme="majorEastAsia"/>
                <w:b/>
                <w:bCs/>
                <w:sz w:val="20"/>
                <w:szCs w:val="20"/>
              </w:rPr>
              <w:t>Actual</w:t>
            </w:r>
          </w:p>
          <w:p w14:paraId="667EDA0F">
            <w:pPr>
              <w:pStyle w:val="26"/>
              <w:jc w:val="center"/>
              <w:rPr>
                <w:rFonts w:eastAsiaTheme="majorEastAsia"/>
                <w:b/>
                <w:bCs/>
                <w:sz w:val="20"/>
                <w:szCs w:val="20"/>
              </w:rPr>
            </w:pPr>
            <w:r>
              <w:rPr>
                <w:rFonts w:eastAsiaTheme="majorEastAsia"/>
                <w:b/>
                <w:bCs/>
                <w:sz w:val="20"/>
                <w:szCs w:val="20"/>
              </w:rPr>
              <w:t>2025</w:t>
            </w:r>
          </w:p>
        </w:tc>
        <w:tc>
          <w:tcPr>
            <w:tcW w:w="961" w:type="dxa"/>
            <w:shd w:val="clear" w:color="auto" w:fill="9CC2E5" w:themeFill="accent1" w:themeFillTint="99"/>
            <w:vAlign w:val="center"/>
          </w:tcPr>
          <w:p w14:paraId="2B8071E1">
            <w:pPr>
              <w:pStyle w:val="26"/>
              <w:jc w:val="center"/>
              <w:rPr>
                <w:rFonts w:eastAsiaTheme="majorEastAsia"/>
                <w:b/>
                <w:sz w:val="20"/>
                <w:szCs w:val="20"/>
              </w:rPr>
            </w:pPr>
            <w:r>
              <w:rPr>
                <w:rFonts w:eastAsiaTheme="majorEastAsia"/>
                <w:b/>
                <w:bCs/>
                <w:sz w:val="20"/>
                <w:szCs w:val="20"/>
              </w:rPr>
              <w:t>Target</w:t>
            </w:r>
          </w:p>
          <w:p w14:paraId="799D84F3">
            <w:pPr>
              <w:pStyle w:val="26"/>
              <w:jc w:val="center"/>
              <w:rPr>
                <w:rFonts w:eastAsiaTheme="majorEastAsia"/>
                <w:b/>
                <w:bCs/>
                <w:sz w:val="20"/>
                <w:szCs w:val="20"/>
              </w:rPr>
            </w:pPr>
            <w:r>
              <w:rPr>
                <w:rFonts w:eastAsiaTheme="majorEastAsia"/>
                <w:b/>
                <w:bCs/>
                <w:sz w:val="20"/>
                <w:szCs w:val="20"/>
              </w:rPr>
              <w:t>2026</w:t>
            </w:r>
          </w:p>
        </w:tc>
        <w:tc>
          <w:tcPr>
            <w:tcW w:w="1350" w:type="dxa"/>
            <w:shd w:val="clear" w:color="auto" w:fill="9CC2E5" w:themeFill="accent1" w:themeFillTint="99"/>
            <w:vAlign w:val="center"/>
          </w:tcPr>
          <w:p w14:paraId="2B0251AB">
            <w:pPr>
              <w:pStyle w:val="26"/>
              <w:jc w:val="center"/>
              <w:rPr>
                <w:rFonts w:eastAsiaTheme="majorEastAsia"/>
                <w:b/>
                <w:sz w:val="20"/>
                <w:szCs w:val="20"/>
              </w:rPr>
            </w:pPr>
            <w:r>
              <w:rPr>
                <w:rFonts w:eastAsiaTheme="majorEastAsia"/>
                <w:b/>
                <w:bCs/>
                <w:sz w:val="20"/>
                <w:szCs w:val="20"/>
              </w:rPr>
              <w:t>Actual 1</w:t>
            </w:r>
            <w:r>
              <w:rPr>
                <w:rFonts w:eastAsiaTheme="majorEastAsia"/>
                <w:b/>
                <w:bCs/>
                <w:sz w:val="20"/>
                <w:szCs w:val="20"/>
                <w:vertAlign w:val="superscript"/>
              </w:rPr>
              <w:t xml:space="preserve">ST </w:t>
            </w:r>
            <w:r>
              <w:rPr>
                <w:rFonts w:eastAsiaTheme="majorEastAsia"/>
                <w:b/>
                <w:sz w:val="20"/>
                <w:szCs w:val="20"/>
              </w:rPr>
              <w:t>QTR</w:t>
            </w:r>
          </w:p>
          <w:p w14:paraId="1303DC79">
            <w:pPr>
              <w:pStyle w:val="26"/>
              <w:jc w:val="center"/>
              <w:rPr>
                <w:rFonts w:eastAsiaTheme="majorEastAsia"/>
                <w:b/>
                <w:bCs/>
                <w:sz w:val="20"/>
                <w:szCs w:val="20"/>
              </w:rPr>
            </w:pPr>
            <w:r>
              <w:rPr>
                <w:rFonts w:eastAsiaTheme="majorEastAsia"/>
                <w:b/>
                <w:bCs/>
                <w:sz w:val="20"/>
                <w:szCs w:val="20"/>
              </w:rPr>
              <w:t>2026</w:t>
            </w:r>
          </w:p>
        </w:tc>
      </w:tr>
      <w:tr w14:paraId="206E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85" w:type="dxa"/>
            <w:shd w:val="clear" w:color="auto" w:fill="FBE4D5" w:themeFill="accent2" w:themeFillTint="33"/>
            <w:vAlign w:val="center"/>
          </w:tcPr>
          <w:p w14:paraId="76709954">
            <w:pPr>
              <w:pStyle w:val="26"/>
              <w:numPr>
                <w:ilvl w:val="0"/>
                <w:numId w:val="5"/>
              </w:numPr>
              <w:spacing w:after="240"/>
              <w:jc w:val="both"/>
              <w:rPr>
                <w:rFonts w:eastAsiaTheme="majorEastAsia"/>
                <w:b/>
                <w:bCs/>
                <w:sz w:val="20"/>
                <w:szCs w:val="20"/>
              </w:rPr>
            </w:pPr>
          </w:p>
        </w:tc>
        <w:tc>
          <w:tcPr>
            <w:tcW w:w="2830" w:type="dxa"/>
            <w:shd w:val="clear" w:color="auto" w:fill="FBE4D5" w:themeFill="accent2" w:themeFillTint="33"/>
            <w:tcMar>
              <w:top w:w="15" w:type="dxa"/>
              <w:left w:w="108" w:type="dxa"/>
              <w:bottom w:w="0" w:type="dxa"/>
              <w:right w:w="108" w:type="dxa"/>
            </w:tcMar>
            <w:vAlign w:val="center"/>
          </w:tcPr>
          <w:p w14:paraId="58B71204">
            <w:pPr>
              <w:pStyle w:val="26"/>
              <w:spacing w:after="240"/>
              <w:jc w:val="both"/>
              <w:rPr>
                <w:rFonts w:eastAsiaTheme="majorEastAsia"/>
                <w:b/>
                <w:sz w:val="20"/>
                <w:szCs w:val="20"/>
              </w:rPr>
            </w:pPr>
            <w:r>
              <w:rPr>
                <w:rFonts w:eastAsiaTheme="majorEastAsia"/>
                <w:b/>
                <w:bCs/>
                <w:sz w:val="20"/>
                <w:szCs w:val="20"/>
              </w:rPr>
              <w:t>Proportion of the Annual Action Plans implemented by the end of the year</w:t>
            </w:r>
          </w:p>
        </w:tc>
        <w:tc>
          <w:tcPr>
            <w:tcW w:w="1101" w:type="dxa"/>
            <w:tcMar>
              <w:top w:w="15" w:type="dxa"/>
              <w:left w:w="108" w:type="dxa"/>
              <w:bottom w:w="0" w:type="dxa"/>
              <w:right w:w="108" w:type="dxa"/>
            </w:tcMar>
            <w:vAlign w:val="center"/>
          </w:tcPr>
          <w:p w14:paraId="023B0FE1">
            <w:pPr>
              <w:pStyle w:val="26"/>
              <w:spacing w:after="240"/>
              <w:jc w:val="center"/>
              <w:rPr>
                <w:rFonts w:eastAsiaTheme="majorEastAsia"/>
                <w:b/>
                <w:sz w:val="20"/>
                <w:szCs w:val="20"/>
              </w:rPr>
            </w:pPr>
            <w:r>
              <w:rPr>
                <w:rFonts w:eastAsiaTheme="majorEastAsia"/>
                <w:b/>
                <w:sz w:val="20"/>
                <w:szCs w:val="20"/>
              </w:rPr>
              <w:t>90%</w:t>
            </w:r>
          </w:p>
        </w:tc>
        <w:tc>
          <w:tcPr>
            <w:tcW w:w="1102" w:type="dxa"/>
            <w:tcMar>
              <w:top w:w="15" w:type="dxa"/>
              <w:left w:w="108" w:type="dxa"/>
              <w:bottom w:w="0" w:type="dxa"/>
              <w:right w:w="108" w:type="dxa"/>
            </w:tcMar>
            <w:vAlign w:val="center"/>
          </w:tcPr>
          <w:p w14:paraId="2EDCD7D9">
            <w:pPr>
              <w:pStyle w:val="26"/>
              <w:spacing w:after="240"/>
              <w:jc w:val="center"/>
              <w:rPr>
                <w:rFonts w:eastAsiaTheme="majorEastAsia"/>
                <w:b/>
                <w:sz w:val="20"/>
                <w:szCs w:val="20"/>
              </w:rPr>
            </w:pPr>
            <w:r>
              <w:rPr>
                <w:rFonts w:eastAsiaTheme="majorEastAsia"/>
                <w:b/>
                <w:sz w:val="20"/>
                <w:szCs w:val="20"/>
              </w:rPr>
              <w:t>90.7%</w:t>
            </w:r>
          </w:p>
        </w:tc>
        <w:tc>
          <w:tcPr>
            <w:tcW w:w="940" w:type="dxa"/>
            <w:vAlign w:val="center"/>
          </w:tcPr>
          <w:p w14:paraId="695160A5">
            <w:pPr>
              <w:pStyle w:val="26"/>
              <w:spacing w:after="240"/>
              <w:jc w:val="center"/>
              <w:rPr>
                <w:rFonts w:eastAsiaTheme="majorEastAsia"/>
                <w:b/>
                <w:sz w:val="20"/>
                <w:szCs w:val="20"/>
              </w:rPr>
            </w:pPr>
            <w:r>
              <w:rPr>
                <w:rFonts w:eastAsiaTheme="majorEastAsia"/>
                <w:b/>
                <w:sz w:val="20"/>
                <w:szCs w:val="20"/>
              </w:rPr>
              <w:t>100%</w:t>
            </w:r>
          </w:p>
        </w:tc>
        <w:tc>
          <w:tcPr>
            <w:tcW w:w="950" w:type="dxa"/>
            <w:vAlign w:val="center"/>
          </w:tcPr>
          <w:p w14:paraId="71F58F5A">
            <w:pPr>
              <w:pStyle w:val="26"/>
              <w:spacing w:after="240"/>
              <w:jc w:val="center"/>
              <w:rPr>
                <w:rFonts w:eastAsiaTheme="majorEastAsia"/>
                <w:b/>
                <w:sz w:val="20"/>
                <w:szCs w:val="20"/>
              </w:rPr>
            </w:pPr>
            <w:r>
              <w:rPr>
                <w:rFonts w:eastAsiaTheme="majorEastAsia"/>
                <w:b/>
                <w:sz w:val="20"/>
                <w:szCs w:val="20"/>
              </w:rPr>
              <w:t>90.3%</w:t>
            </w:r>
          </w:p>
        </w:tc>
        <w:tc>
          <w:tcPr>
            <w:tcW w:w="803" w:type="dxa"/>
            <w:vAlign w:val="center"/>
          </w:tcPr>
          <w:p w14:paraId="748961BC">
            <w:pPr>
              <w:pStyle w:val="26"/>
              <w:spacing w:after="240"/>
              <w:jc w:val="center"/>
              <w:rPr>
                <w:rFonts w:eastAsiaTheme="majorEastAsia"/>
                <w:b/>
                <w:sz w:val="20"/>
                <w:szCs w:val="20"/>
              </w:rPr>
            </w:pPr>
            <w:r>
              <w:rPr>
                <w:rFonts w:eastAsiaTheme="majorEastAsia"/>
                <w:b/>
                <w:sz w:val="20"/>
                <w:szCs w:val="20"/>
              </w:rPr>
              <w:t>100%</w:t>
            </w:r>
          </w:p>
        </w:tc>
        <w:tc>
          <w:tcPr>
            <w:tcW w:w="803" w:type="dxa"/>
            <w:vAlign w:val="center"/>
          </w:tcPr>
          <w:p w14:paraId="557754D1">
            <w:pPr>
              <w:pStyle w:val="26"/>
              <w:spacing w:after="240"/>
              <w:jc w:val="center"/>
              <w:rPr>
                <w:rFonts w:eastAsiaTheme="majorEastAsia"/>
                <w:b/>
                <w:sz w:val="20"/>
                <w:szCs w:val="20"/>
              </w:rPr>
            </w:pPr>
            <w:r>
              <w:rPr>
                <w:rFonts w:eastAsiaTheme="majorEastAsia"/>
                <w:b/>
                <w:sz w:val="20"/>
                <w:szCs w:val="20"/>
              </w:rPr>
              <w:t>95.6%</w:t>
            </w:r>
          </w:p>
        </w:tc>
        <w:tc>
          <w:tcPr>
            <w:tcW w:w="961" w:type="dxa"/>
            <w:vAlign w:val="center"/>
          </w:tcPr>
          <w:p w14:paraId="5DFDC8F0">
            <w:pPr>
              <w:pStyle w:val="26"/>
              <w:spacing w:after="240"/>
              <w:jc w:val="center"/>
              <w:rPr>
                <w:rFonts w:eastAsiaTheme="majorEastAsia"/>
                <w:b/>
                <w:sz w:val="20"/>
                <w:szCs w:val="20"/>
              </w:rPr>
            </w:pPr>
            <w:r>
              <w:rPr>
                <w:rFonts w:eastAsiaTheme="majorEastAsia"/>
                <w:b/>
                <w:sz w:val="20"/>
                <w:szCs w:val="20"/>
              </w:rPr>
              <w:t>100%</w:t>
            </w:r>
          </w:p>
        </w:tc>
        <w:tc>
          <w:tcPr>
            <w:tcW w:w="1350" w:type="dxa"/>
            <w:vAlign w:val="center"/>
          </w:tcPr>
          <w:p w14:paraId="6C12986B">
            <w:pPr>
              <w:pStyle w:val="26"/>
              <w:spacing w:after="240"/>
              <w:jc w:val="center"/>
              <w:rPr>
                <w:rFonts w:eastAsiaTheme="majorEastAsia"/>
                <w:b/>
                <w:sz w:val="20"/>
                <w:szCs w:val="20"/>
              </w:rPr>
            </w:pPr>
            <w:r>
              <w:rPr>
                <w:rFonts w:eastAsiaTheme="majorEastAsia"/>
                <w:b/>
                <w:sz w:val="20"/>
                <w:szCs w:val="20"/>
                <w:lang w:val="zh-CN"/>
              </w:rPr>
              <w:t>45.1</w:t>
            </w:r>
            <w:r>
              <w:rPr>
                <w:rFonts w:eastAsiaTheme="majorEastAsia"/>
                <w:b/>
                <w:sz w:val="20"/>
                <w:szCs w:val="20"/>
              </w:rPr>
              <w:t>%</w:t>
            </w:r>
          </w:p>
        </w:tc>
      </w:tr>
      <w:tr w14:paraId="5BDD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585" w:type="dxa"/>
            <w:shd w:val="clear" w:color="auto" w:fill="FBE4D5" w:themeFill="accent2" w:themeFillTint="33"/>
            <w:vAlign w:val="center"/>
          </w:tcPr>
          <w:p w14:paraId="40280EA2">
            <w:pPr>
              <w:pStyle w:val="26"/>
              <w:numPr>
                <w:ilvl w:val="0"/>
                <w:numId w:val="6"/>
              </w:numPr>
              <w:spacing w:after="240"/>
              <w:jc w:val="both"/>
              <w:rPr>
                <w:rFonts w:eastAsiaTheme="majorEastAsia"/>
                <w:b/>
                <w:bCs/>
                <w:sz w:val="20"/>
                <w:szCs w:val="20"/>
              </w:rPr>
            </w:pPr>
          </w:p>
        </w:tc>
        <w:tc>
          <w:tcPr>
            <w:tcW w:w="2830" w:type="dxa"/>
            <w:shd w:val="clear" w:color="auto" w:fill="FBE4D5" w:themeFill="accent2" w:themeFillTint="33"/>
            <w:tcMar>
              <w:top w:w="15" w:type="dxa"/>
              <w:left w:w="108" w:type="dxa"/>
              <w:bottom w:w="0" w:type="dxa"/>
              <w:right w:w="108" w:type="dxa"/>
            </w:tcMar>
            <w:vAlign w:val="center"/>
          </w:tcPr>
          <w:p w14:paraId="5BC63591">
            <w:pPr>
              <w:pStyle w:val="26"/>
              <w:spacing w:after="240"/>
              <w:jc w:val="both"/>
              <w:rPr>
                <w:rFonts w:eastAsiaTheme="majorEastAsia"/>
                <w:sz w:val="20"/>
                <w:szCs w:val="20"/>
              </w:rPr>
            </w:pPr>
            <w:r>
              <w:rPr>
                <w:rFonts w:eastAsiaTheme="majorEastAsia"/>
                <w:bCs/>
                <w:sz w:val="20"/>
                <w:szCs w:val="20"/>
              </w:rPr>
              <w:t>Percentage completed</w:t>
            </w:r>
          </w:p>
        </w:tc>
        <w:tc>
          <w:tcPr>
            <w:tcW w:w="1101" w:type="dxa"/>
            <w:tcMar>
              <w:top w:w="15" w:type="dxa"/>
              <w:left w:w="108" w:type="dxa"/>
              <w:bottom w:w="0" w:type="dxa"/>
              <w:right w:w="108" w:type="dxa"/>
            </w:tcMar>
            <w:vAlign w:val="center"/>
          </w:tcPr>
          <w:p w14:paraId="5E01D7E9">
            <w:pPr>
              <w:pStyle w:val="26"/>
              <w:spacing w:after="240"/>
              <w:jc w:val="center"/>
              <w:rPr>
                <w:rFonts w:eastAsiaTheme="majorEastAsia"/>
                <w:sz w:val="20"/>
                <w:szCs w:val="20"/>
              </w:rPr>
            </w:pPr>
            <w:r>
              <w:rPr>
                <w:rFonts w:eastAsiaTheme="majorEastAsia"/>
                <w:sz w:val="20"/>
                <w:szCs w:val="20"/>
              </w:rPr>
              <w:t>75%</w:t>
            </w:r>
          </w:p>
        </w:tc>
        <w:tc>
          <w:tcPr>
            <w:tcW w:w="1102" w:type="dxa"/>
            <w:tcMar>
              <w:top w:w="15" w:type="dxa"/>
              <w:left w:w="108" w:type="dxa"/>
              <w:bottom w:w="0" w:type="dxa"/>
              <w:right w:w="108" w:type="dxa"/>
            </w:tcMar>
            <w:vAlign w:val="center"/>
          </w:tcPr>
          <w:p w14:paraId="07C4F67E">
            <w:pPr>
              <w:pStyle w:val="26"/>
              <w:spacing w:after="240"/>
              <w:jc w:val="center"/>
              <w:rPr>
                <w:rFonts w:eastAsiaTheme="majorEastAsia"/>
                <w:sz w:val="20"/>
                <w:szCs w:val="20"/>
              </w:rPr>
            </w:pPr>
            <w:r>
              <w:rPr>
                <w:rFonts w:eastAsiaTheme="majorEastAsia"/>
                <w:sz w:val="20"/>
                <w:szCs w:val="20"/>
              </w:rPr>
              <w:t>55.4%</w:t>
            </w:r>
          </w:p>
        </w:tc>
        <w:tc>
          <w:tcPr>
            <w:tcW w:w="940" w:type="dxa"/>
            <w:vAlign w:val="center"/>
          </w:tcPr>
          <w:p w14:paraId="2A30E204">
            <w:pPr>
              <w:pStyle w:val="26"/>
              <w:spacing w:after="240"/>
              <w:jc w:val="center"/>
              <w:rPr>
                <w:rFonts w:eastAsiaTheme="majorEastAsia"/>
                <w:sz w:val="20"/>
                <w:szCs w:val="20"/>
              </w:rPr>
            </w:pPr>
            <w:r>
              <w:rPr>
                <w:rFonts w:eastAsiaTheme="majorEastAsia"/>
                <w:sz w:val="20"/>
                <w:szCs w:val="20"/>
              </w:rPr>
              <w:t>80%</w:t>
            </w:r>
          </w:p>
        </w:tc>
        <w:tc>
          <w:tcPr>
            <w:tcW w:w="950" w:type="dxa"/>
            <w:vAlign w:val="center"/>
          </w:tcPr>
          <w:p w14:paraId="305B8DAB">
            <w:pPr>
              <w:pStyle w:val="26"/>
              <w:spacing w:after="240"/>
              <w:jc w:val="center"/>
              <w:rPr>
                <w:rFonts w:eastAsiaTheme="majorEastAsia"/>
                <w:sz w:val="20"/>
                <w:szCs w:val="20"/>
              </w:rPr>
            </w:pPr>
            <w:r>
              <w:rPr>
                <w:rFonts w:eastAsiaTheme="majorEastAsia"/>
                <w:sz w:val="20"/>
                <w:szCs w:val="20"/>
              </w:rPr>
              <w:t>81%</w:t>
            </w:r>
          </w:p>
        </w:tc>
        <w:tc>
          <w:tcPr>
            <w:tcW w:w="803" w:type="dxa"/>
            <w:vAlign w:val="center"/>
          </w:tcPr>
          <w:p w14:paraId="4356A745">
            <w:pPr>
              <w:pStyle w:val="26"/>
              <w:spacing w:after="240"/>
              <w:jc w:val="center"/>
              <w:rPr>
                <w:rFonts w:eastAsiaTheme="majorEastAsia"/>
                <w:sz w:val="20"/>
                <w:szCs w:val="20"/>
              </w:rPr>
            </w:pPr>
            <w:r>
              <w:rPr>
                <w:rFonts w:eastAsiaTheme="majorEastAsia"/>
                <w:sz w:val="20"/>
                <w:szCs w:val="20"/>
              </w:rPr>
              <w:t>80%</w:t>
            </w:r>
          </w:p>
        </w:tc>
        <w:tc>
          <w:tcPr>
            <w:tcW w:w="803" w:type="dxa"/>
            <w:vAlign w:val="center"/>
          </w:tcPr>
          <w:p w14:paraId="6E5BED36">
            <w:pPr>
              <w:pStyle w:val="26"/>
              <w:spacing w:after="240"/>
              <w:jc w:val="center"/>
              <w:rPr>
                <w:rFonts w:eastAsiaTheme="majorEastAsia"/>
                <w:sz w:val="20"/>
                <w:szCs w:val="20"/>
              </w:rPr>
            </w:pPr>
            <w:r>
              <w:rPr>
                <w:rFonts w:eastAsiaTheme="majorEastAsia"/>
                <w:sz w:val="20"/>
                <w:szCs w:val="20"/>
              </w:rPr>
              <w:t>81.8%</w:t>
            </w:r>
          </w:p>
        </w:tc>
        <w:tc>
          <w:tcPr>
            <w:tcW w:w="961" w:type="dxa"/>
            <w:vAlign w:val="center"/>
          </w:tcPr>
          <w:p w14:paraId="57A82714">
            <w:pPr>
              <w:pStyle w:val="26"/>
              <w:spacing w:after="240"/>
              <w:jc w:val="center"/>
              <w:rPr>
                <w:rFonts w:eastAsiaTheme="majorEastAsia"/>
                <w:sz w:val="20"/>
                <w:szCs w:val="20"/>
              </w:rPr>
            </w:pPr>
            <w:r>
              <w:rPr>
                <w:rFonts w:eastAsiaTheme="majorEastAsia"/>
                <w:sz w:val="20"/>
                <w:szCs w:val="20"/>
              </w:rPr>
              <w:t>95%</w:t>
            </w:r>
          </w:p>
        </w:tc>
        <w:tc>
          <w:tcPr>
            <w:tcW w:w="1350" w:type="dxa"/>
            <w:vAlign w:val="center"/>
          </w:tcPr>
          <w:p w14:paraId="68F00AD9">
            <w:pPr>
              <w:pStyle w:val="26"/>
              <w:spacing w:after="240"/>
              <w:jc w:val="center"/>
              <w:rPr>
                <w:rFonts w:eastAsiaTheme="majorEastAsia"/>
                <w:sz w:val="20"/>
                <w:szCs w:val="20"/>
              </w:rPr>
            </w:pPr>
            <w:r>
              <w:rPr>
                <w:rFonts w:eastAsiaTheme="majorEastAsia"/>
                <w:sz w:val="20"/>
                <w:szCs w:val="20"/>
                <w:lang w:val="zh-CN"/>
              </w:rPr>
              <w:t>4.4</w:t>
            </w:r>
            <w:r>
              <w:rPr>
                <w:rFonts w:eastAsiaTheme="majorEastAsia"/>
                <w:sz w:val="20"/>
                <w:szCs w:val="20"/>
              </w:rPr>
              <w:t>%</w:t>
            </w:r>
          </w:p>
        </w:tc>
      </w:tr>
      <w:tr w14:paraId="64BE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585" w:type="dxa"/>
            <w:shd w:val="clear" w:color="auto" w:fill="FBE4D5" w:themeFill="accent2" w:themeFillTint="33"/>
            <w:vAlign w:val="center"/>
          </w:tcPr>
          <w:p w14:paraId="4935EF3C">
            <w:pPr>
              <w:pStyle w:val="26"/>
              <w:numPr>
                <w:ilvl w:val="0"/>
                <w:numId w:val="6"/>
              </w:numPr>
              <w:spacing w:after="240"/>
              <w:jc w:val="both"/>
              <w:rPr>
                <w:rFonts w:eastAsiaTheme="majorEastAsia"/>
                <w:b/>
                <w:bCs/>
                <w:sz w:val="20"/>
                <w:szCs w:val="20"/>
              </w:rPr>
            </w:pPr>
          </w:p>
        </w:tc>
        <w:tc>
          <w:tcPr>
            <w:tcW w:w="2830" w:type="dxa"/>
            <w:shd w:val="clear" w:color="auto" w:fill="FBE4D5" w:themeFill="accent2" w:themeFillTint="33"/>
            <w:tcMar>
              <w:top w:w="15" w:type="dxa"/>
              <w:left w:w="108" w:type="dxa"/>
              <w:bottom w:w="0" w:type="dxa"/>
              <w:right w:w="108" w:type="dxa"/>
            </w:tcMar>
            <w:vAlign w:val="center"/>
          </w:tcPr>
          <w:p w14:paraId="35279A61">
            <w:pPr>
              <w:pStyle w:val="26"/>
              <w:spacing w:after="240"/>
              <w:jc w:val="both"/>
              <w:rPr>
                <w:rFonts w:eastAsiaTheme="majorEastAsia"/>
                <w:bCs/>
                <w:sz w:val="20"/>
                <w:szCs w:val="20"/>
              </w:rPr>
            </w:pPr>
            <w:r>
              <w:rPr>
                <w:rFonts w:eastAsiaTheme="majorEastAsia"/>
                <w:bCs/>
                <w:sz w:val="20"/>
                <w:szCs w:val="20"/>
              </w:rPr>
              <w:t>Percentage of ongoing interventions</w:t>
            </w:r>
          </w:p>
        </w:tc>
        <w:tc>
          <w:tcPr>
            <w:tcW w:w="1101" w:type="dxa"/>
            <w:tcMar>
              <w:top w:w="15" w:type="dxa"/>
              <w:left w:w="108" w:type="dxa"/>
              <w:bottom w:w="0" w:type="dxa"/>
              <w:right w:w="108" w:type="dxa"/>
            </w:tcMar>
            <w:vAlign w:val="center"/>
          </w:tcPr>
          <w:p w14:paraId="4B5A3CF3">
            <w:pPr>
              <w:pStyle w:val="26"/>
              <w:spacing w:after="240"/>
              <w:jc w:val="center"/>
              <w:rPr>
                <w:rFonts w:eastAsiaTheme="majorEastAsia"/>
                <w:sz w:val="20"/>
                <w:szCs w:val="20"/>
              </w:rPr>
            </w:pPr>
            <w:r>
              <w:rPr>
                <w:rFonts w:eastAsiaTheme="majorEastAsia"/>
                <w:sz w:val="20"/>
                <w:szCs w:val="20"/>
              </w:rPr>
              <w:t>15%</w:t>
            </w:r>
          </w:p>
        </w:tc>
        <w:tc>
          <w:tcPr>
            <w:tcW w:w="1102" w:type="dxa"/>
            <w:tcMar>
              <w:top w:w="15" w:type="dxa"/>
              <w:left w:w="108" w:type="dxa"/>
              <w:bottom w:w="0" w:type="dxa"/>
              <w:right w:w="108" w:type="dxa"/>
            </w:tcMar>
            <w:vAlign w:val="center"/>
          </w:tcPr>
          <w:p w14:paraId="5FE11B94">
            <w:pPr>
              <w:pStyle w:val="26"/>
              <w:spacing w:after="240"/>
              <w:jc w:val="center"/>
              <w:rPr>
                <w:rFonts w:eastAsiaTheme="majorEastAsia"/>
                <w:sz w:val="20"/>
                <w:szCs w:val="20"/>
              </w:rPr>
            </w:pPr>
            <w:r>
              <w:rPr>
                <w:rFonts w:eastAsiaTheme="majorEastAsia"/>
                <w:sz w:val="20"/>
                <w:szCs w:val="20"/>
              </w:rPr>
              <w:t>35.3%</w:t>
            </w:r>
          </w:p>
        </w:tc>
        <w:tc>
          <w:tcPr>
            <w:tcW w:w="940" w:type="dxa"/>
            <w:vAlign w:val="center"/>
          </w:tcPr>
          <w:p w14:paraId="59EBECC8">
            <w:pPr>
              <w:pStyle w:val="26"/>
              <w:spacing w:after="240"/>
              <w:jc w:val="center"/>
              <w:rPr>
                <w:rFonts w:eastAsiaTheme="majorEastAsia"/>
                <w:sz w:val="20"/>
                <w:szCs w:val="20"/>
              </w:rPr>
            </w:pPr>
            <w:r>
              <w:rPr>
                <w:rFonts w:eastAsiaTheme="majorEastAsia"/>
                <w:sz w:val="20"/>
                <w:szCs w:val="20"/>
              </w:rPr>
              <w:t>15%</w:t>
            </w:r>
          </w:p>
        </w:tc>
        <w:tc>
          <w:tcPr>
            <w:tcW w:w="950" w:type="dxa"/>
            <w:vAlign w:val="center"/>
          </w:tcPr>
          <w:p w14:paraId="4AE7A3B3">
            <w:pPr>
              <w:pStyle w:val="26"/>
              <w:spacing w:after="240"/>
              <w:jc w:val="center"/>
              <w:rPr>
                <w:rFonts w:eastAsiaTheme="majorEastAsia"/>
                <w:sz w:val="20"/>
                <w:szCs w:val="20"/>
              </w:rPr>
            </w:pPr>
            <w:r>
              <w:rPr>
                <w:rFonts w:eastAsiaTheme="majorEastAsia"/>
                <w:sz w:val="20"/>
                <w:szCs w:val="20"/>
              </w:rPr>
              <w:t>9%</w:t>
            </w:r>
          </w:p>
        </w:tc>
        <w:tc>
          <w:tcPr>
            <w:tcW w:w="803" w:type="dxa"/>
            <w:vAlign w:val="center"/>
          </w:tcPr>
          <w:p w14:paraId="337FEB36">
            <w:pPr>
              <w:pStyle w:val="26"/>
              <w:spacing w:after="240"/>
              <w:jc w:val="center"/>
              <w:rPr>
                <w:rFonts w:eastAsiaTheme="majorEastAsia"/>
                <w:sz w:val="20"/>
                <w:szCs w:val="20"/>
              </w:rPr>
            </w:pPr>
            <w:r>
              <w:rPr>
                <w:rFonts w:eastAsiaTheme="majorEastAsia"/>
                <w:sz w:val="20"/>
                <w:szCs w:val="20"/>
              </w:rPr>
              <w:t>15%</w:t>
            </w:r>
          </w:p>
        </w:tc>
        <w:tc>
          <w:tcPr>
            <w:tcW w:w="803" w:type="dxa"/>
            <w:vAlign w:val="center"/>
          </w:tcPr>
          <w:p w14:paraId="4D6F40A5">
            <w:pPr>
              <w:pStyle w:val="26"/>
              <w:spacing w:after="240"/>
              <w:jc w:val="center"/>
              <w:rPr>
                <w:rFonts w:eastAsiaTheme="majorEastAsia"/>
                <w:sz w:val="20"/>
                <w:szCs w:val="20"/>
              </w:rPr>
            </w:pPr>
            <w:r>
              <w:rPr>
                <w:rFonts w:eastAsiaTheme="majorEastAsia"/>
                <w:sz w:val="20"/>
                <w:szCs w:val="20"/>
              </w:rPr>
              <w:t>13.8%</w:t>
            </w:r>
          </w:p>
        </w:tc>
        <w:tc>
          <w:tcPr>
            <w:tcW w:w="961" w:type="dxa"/>
            <w:vAlign w:val="center"/>
          </w:tcPr>
          <w:p w14:paraId="400FE577">
            <w:pPr>
              <w:pStyle w:val="26"/>
              <w:spacing w:after="240"/>
              <w:jc w:val="center"/>
              <w:rPr>
                <w:rFonts w:eastAsiaTheme="majorEastAsia"/>
                <w:sz w:val="20"/>
                <w:szCs w:val="20"/>
              </w:rPr>
            </w:pPr>
            <w:r>
              <w:rPr>
                <w:rFonts w:eastAsiaTheme="majorEastAsia"/>
                <w:sz w:val="20"/>
                <w:szCs w:val="20"/>
              </w:rPr>
              <w:t>5%</w:t>
            </w:r>
          </w:p>
        </w:tc>
        <w:tc>
          <w:tcPr>
            <w:tcW w:w="1350" w:type="dxa"/>
            <w:vAlign w:val="center"/>
          </w:tcPr>
          <w:p w14:paraId="3CE2D2CF">
            <w:pPr>
              <w:pStyle w:val="26"/>
              <w:spacing w:after="240"/>
              <w:jc w:val="center"/>
              <w:rPr>
                <w:rFonts w:eastAsiaTheme="majorEastAsia"/>
                <w:sz w:val="20"/>
                <w:szCs w:val="20"/>
              </w:rPr>
            </w:pPr>
            <w:r>
              <w:rPr>
                <w:rFonts w:eastAsiaTheme="majorEastAsia"/>
                <w:sz w:val="20"/>
                <w:szCs w:val="20"/>
                <w:lang w:val="zh-CN"/>
              </w:rPr>
              <w:t>40</w:t>
            </w:r>
            <w:r>
              <w:rPr>
                <w:rFonts w:eastAsiaTheme="majorEastAsia"/>
                <w:sz w:val="20"/>
                <w:szCs w:val="20"/>
              </w:rPr>
              <w:t>.7%</w:t>
            </w:r>
          </w:p>
        </w:tc>
      </w:tr>
      <w:tr w14:paraId="6DC7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85" w:type="dxa"/>
            <w:shd w:val="clear" w:color="auto" w:fill="FBE4D5" w:themeFill="accent2" w:themeFillTint="33"/>
            <w:vAlign w:val="center"/>
          </w:tcPr>
          <w:p w14:paraId="6C228E5B">
            <w:pPr>
              <w:pStyle w:val="26"/>
              <w:numPr>
                <w:ilvl w:val="0"/>
                <w:numId w:val="6"/>
              </w:numPr>
              <w:spacing w:after="240"/>
              <w:jc w:val="both"/>
              <w:rPr>
                <w:rFonts w:eastAsiaTheme="majorEastAsia"/>
                <w:b/>
                <w:sz w:val="20"/>
                <w:szCs w:val="20"/>
              </w:rPr>
            </w:pPr>
          </w:p>
        </w:tc>
        <w:tc>
          <w:tcPr>
            <w:tcW w:w="2830" w:type="dxa"/>
            <w:shd w:val="clear" w:color="auto" w:fill="FBE4D5" w:themeFill="accent2" w:themeFillTint="33"/>
            <w:tcMar>
              <w:top w:w="15" w:type="dxa"/>
              <w:left w:w="108" w:type="dxa"/>
              <w:bottom w:w="0" w:type="dxa"/>
              <w:right w:w="108" w:type="dxa"/>
            </w:tcMar>
            <w:vAlign w:val="center"/>
          </w:tcPr>
          <w:p w14:paraId="04BC3811">
            <w:pPr>
              <w:pStyle w:val="26"/>
              <w:spacing w:after="240"/>
              <w:jc w:val="both"/>
              <w:rPr>
                <w:rFonts w:eastAsiaTheme="majorEastAsia"/>
                <w:sz w:val="20"/>
                <w:szCs w:val="20"/>
              </w:rPr>
            </w:pPr>
            <w:r>
              <w:rPr>
                <w:rFonts w:eastAsiaTheme="majorEastAsia"/>
                <w:bCs/>
                <w:sz w:val="20"/>
                <w:szCs w:val="20"/>
              </w:rPr>
              <w:t xml:space="preserve">Percentage of interventions abandoned </w:t>
            </w:r>
          </w:p>
        </w:tc>
        <w:tc>
          <w:tcPr>
            <w:tcW w:w="1101" w:type="dxa"/>
            <w:tcMar>
              <w:top w:w="15" w:type="dxa"/>
              <w:left w:w="108" w:type="dxa"/>
              <w:bottom w:w="0" w:type="dxa"/>
              <w:right w:w="108" w:type="dxa"/>
            </w:tcMar>
            <w:vAlign w:val="center"/>
          </w:tcPr>
          <w:p w14:paraId="43BF9328">
            <w:pPr>
              <w:pStyle w:val="26"/>
              <w:spacing w:after="240"/>
              <w:jc w:val="center"/>
              <w:rPr>
                <w:rFonts w:eastAsiaTheme="majorEastAsia"/>
                <w:sz w:val="20"/>
                <w:szCs w:val="20"/>
              </w:rPr>
            </w:pPr>
            <w:r>
              <w:rPr>
                <w:rFonts w:eastAsiaTheme="majorEastAsia"/>
                <w:sz w:val="20"/>
                <w:szCs w:val="20"/>
              </w:rPr>
              <w:t>0%</w:t>
            </w:r>
          </w:p>
        </w:tc>
        <w:tc>
          <w:tcPr>
            <w:tcW w:w="1102" w:type="dxa"/>
            <w:tcMar>
              <w:top w:w="15" w:type="dxa"/>
              <w:left w:w="108" w:type="dxa"/>
              <w:bottom w:w="0" w:type="dxa"/>
              <w:right w:w="108" w:type="dxa"/>
            </w:tcMar>
            <w:vAlign w:val="center"/>
          </w:tcPr>
          <w:p w14:paraId="277D3B1A">
            <w:pPr>
              <w:pStyle w:val="26"/>
              <w:spacing w:after="240"/>
              <w:jc w:val="center"/>
              <w:rPr>
                <w:rFonts w:eastAsiaTheme="majorEastAsia"/>
                <w:sz w:val="20"/>
                <w:szCs w:val="20"/>
              </w:rPr>
            </w:pPr>
            <w:r>
              <w:rPr>
                <w:rFonts w:eastAsiaTheme="majorEastAsia"/>
                <w:sz w:val="20"/>
                <w:szCs w:val="20"/>
              </w:rPr>
              <w:t>0%</w:t>
            </w:r>
          </w:p>
        </w:tc>
        <w:tc>
          <w:tcPr>
            <w:tcW w:w="940" w:type="dxa"/>
            <w:vAlign w:val="center"/>
          </w:tcPr>
          <w:p w14:paraId="0A51188F">
            <w:pPr>
              <w:pStyle w:val="26"/>
              <w:spacing w:after="240"/>
              <w:jc w:val="center"/>
              <w:rPr>
                <w:rFonts w:eastAsiaTheme="majorEastAsia"/>
                <w:sz w:val="20"/>
                <w:szCs w:val="20"/>
              </w:rPr>
            </w:pPr>
            <w:r>
              <w:rPr>
                <w:rFonts w:eastAsiaTheme="majorEastAsia"/>
                <w:sz w:val="20"/>
                <w:szCs w:val="20"/>
              </w:rPr>
              <w:t>0%</w:t>
            </w:r>
          </w:p>
        </w:tc>
        <w:tc>
          <w:tcPr>
            <w:tcW w:w="950" w:type="dxa"/>
            <w:vAlign w:val="center"/>
          </w:tcPr>
          <w:p w14:paraId="6427DDB2">
            <w:pPr>
              <w:pStyle w:val="26"/>
              <w:spacing w:after="240"/>
              <w:jc w:val="center"/>
              <w:rPr>
                <w:rFonts w:eastAsiaTheme="majorEastAsia"/>
                <w:sz w:val="20"/>
                <w:szCs w:val="20"/>
              </w:rPr>
            </w:pPr>
            <w:r>
              <w:rPr>
                <w:rFonts w:eastAsiaTheme="majorEastAsia"/>
                <w:sz w:val="20"/>
                <w:szCs w:val="20"/>
              </w:rPr>
              <w:t>0%</w:t>
            </w:r>
          </w:p>
        </w:tc>
        <w:tc>
          <w:tcPr>
            <w:tcW w:w="803" w:type="dxa"/>
            <w:vAlign w:val="center"/>
          </w:tcPr>
          <w:p w14:paraId="6870D4E5">
            <w:pPr>
              <w:pStyle w:val="26"/>
              <w:spacing w:after="240"/>
              <w:jc w:val="center"/>
              <w:rPr>
                <w:rFonts w:eastAsiaTheme="majorEastAsia"/>
                <w:sz w:val="20"/>
                <w:szCs w:val="20"/>
              </w:rPr>
            </w:pPr>
            <w:r>
              <w:rPr>
                <w:rFonts w:eastAsiaTheme="majorEastAsia"/>
                <w:sz w:val="20"/>
                <w:szCs w:val="20"/>
              </w:rPr>
              <w:t>0%</w:t>
            </w:r>
          </w:p>
        </w:tc>
        <w:tc>
          <w:tcPr>
            <w:tcW w:w="803" w:type="dxa"/>
            <w:vAlign w:val="center"/>
          </w:tcPr>
          <w:p w14:paraId="4BA45039">
            <w:pPr>
              <w:pStyle w:val="26"/>
              <w:spacing w:after="240"/>
              <w:jc w:val="center"/>
              <w:rPr>
                <w:rFonts w:eastAsiaTheme="majorEastAsia"/>
                <w:sz w:val="20"/>
                <w:szCs w:val="20"/>
              </w:rPr>
            </w:pPr>
            <w:r>
              <w:rPr>
                <w:rFonts w:eastAsiaTheme="majorEastAsia"/>
                <w:sz w:val="20"/>
                <w:szCs w:val="20"/>
              </w:rPr>
              <w:t>0%</w:t>
            </w:r>
          </w:p>
        </w:tc>
        <w:tc>
          <w:tcPr>
            <w:tcW w:w="961" w:type="dxa"/>
            <w:vAlign w:val="center"/>
          </w:tcPr>
          <w:p w14:paraId="79A67E49">
            <w:pPr>
              <w:pStyle w:val="26"/>
              <w:spacing w:after="240"/>
              <w:jc w:val="center"/>
              <w:rPr>
                <w:rFonts w:eastAsiaTheme="majorEastAsia"/>
                <w:sz w:val="20"/>
                <w:szCs w:val="20"/>
              </w:rPr>
            </w:pPr>
            <w:r>
              <w:rPr>
                <w:rFonts w:eastAsiaTheme="majorEastAsia"/>
                <w:sz w:val="20"/>
                <w:szCs w:val="20"/>
              </w:rPr>
              <w:t>0%</w:t>
            </w:r>
          </w:p>
        </w:tc>
        <w:tc>
          <w:tcPr>
            <w:tcW w:w="1350" w:type="dxa"/>
            <w:vAlign w:val="center"/>
          </w:tcPr>
          <w:p w14:paraId="03479FB9">
            <w:pPr>
              <w:pStyle w:val="26"/>
              <w:spacing w:after="240"/>
              <w:jc w:val="center"/>
              <w:rPr>
                <w:rFonts w:eastAsiaTheme="majorEastAsia"/>
                <w:sz w:val="20"/>
                <w:szCs w:val="20"/>
              </w:rPr>
            </w:pPr>
            <w:r>
              <w:rPr>
                <w:rFonts w:eastAsiaTheme="majorEastAsia"/>
                <w:sz w:val="20"/>
                <w:szCs w:val="20"/>
              </w:rPr>
              <w:t>0%</w:t>
            </w:r>
          </w:p>
        </w:tc>
      </w:tr>
      <w:tr w14:paraId="19F7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585" w:type="dxa"/>
            <w:shd w:val="clear" w:color="auto" w:fill="FBE4D5" w:themeFill="accent2" w:themeFillTint="33"/>
            <w:vAlign w:val="center"/>
          </w:tcPr>
          <w:p w14:paraId="0D9F9CB3">
            <w:pPr>
              <w:pStyle w:val="26"/>
              <w:numPr>
                <w:ilvl w:val="0"/>
                <w:numId w:val="6"/>
              </w:numPr>
              <w:spacing w:after="240"/>
              <w:jc w:val="both"/>
              <w:rPr>
                <w:rFonts w:eastAsiaTheme="majorEastAsia"/>
                <w:b/>
                <w:bCs/>
                <w:sz w:val="20"/>
                <w:szCs w:val="20"/>
              </w:rPr>
            </w:pPr>
          </w:p>
        </w:tc>
        <w:tc>
          <w:tcPr>
            <w:tcW w:w="2830" w:type="dxa"/>
            <w:shd w:val="clear" w:color="auto" w:fill="FBE4D5" w:themeFill="accent2" w:themeFillTint="33"/>
            <w:tcMar>
              <w:top w:w="15" w:type="dxa"/>
              <w:left w:w="108" w:type="dxa"/>
              <w:bottom w:w="0" w:type="dxa"/>
              <w:right w:w="108" w:type="dxa"/>
            </w:tcMar>
            <w:vAlign w:val="center"/>
          </w:tcPr>
          <w:p w14:paraId="3F4B3E0B">
            <w:pPr>
              <w:pStyle w:val="26"/>
              <w:spacing w:after="240"/>
              <w:jc w:val="both"/>
              <w:rPr>
                <w:rFonts w:eastAsiaTheme="majorEastAsia"/>
                <w:sz w:val="20"/>
                <w:szCs w:val="20"/>
              </w:rPr>
            </w:pPr>
            <w:r>
              <w:rPr>
                <w:rFonts w:eastAsiaTheme="majorEastAsia"/>
                <w:bCs/>
                <w:sz w:val="20"/>
                <w:szCs w:val="20"/>
              </w:rPr>
              <w:t>Percentage of interventions yet to start</w:t>
            </w:r>
          </w:p>
        </w:tc>
        <w:tc>
          <w:tcPr>
            <w:tcW w:w="1101" w:type="dxa"/>
            <w:tcMar>
              <w:top w:w="15" w:type="dxa"/>
              <w:left w:w="108" w:type="dxa"/>
              <w:bottom w:w="0" w:type="dxa"/>
              <w:right w:w="108" w:type="dxa"/>
            </w:tcMar>
            <w:vAlign w:val="center"/>
          </w:tcPr>
          <w:p w14:paraId="4497FC9E">
            <w:pPr>
              <w:pStyle w:val="26"/>
              <w:spacing w:after="240"/>
              <w:jc w:val="center"/>
              <w:rPr>
                <w:rFonts w:eastAsiaTheme="majorEastAsia"/>
                <w:sz w:val="20"/>
                <w:szCs w:val="20"/>
              </w:rPr>
            </w:pPr>
            <w:r>
              <w:rPr>
                <w:rFonts w:eastAsiaTheme="majorEastAsia"/>
                <w:sz w:val="20"/>
                <w:szCs w:val="20"/>
              </w:rPr>
              <w:t>10%</w:t>
            </w:r>
          </w:p>
        </w:tc>
        <w:tc>
          <w:tcPr>
            <w:tcW w:w="1102" w:type="dxa"/>
            <w:tcMar>
              <w:top w:w="15" w:type="dxa"/>
              <w:left w:w="108" w:type="dxa"/>
              <w:bottom w:w="0" w:type="dxa"/>
              <w:right w:w="108" w:type="dxa"/>
            </w:tcMar>
            <w:vAlign w:val="center"/>
          </w:tcPr>
          <w:p w14:paraId="15C32453">
            <w:pPr>
              <w:pStyle w:val="26"/>
              <w:spacing w:after="240"/>
              <w:jc w:val="center"/>
              <w:rPr>
                <w:rFonts w:eastAsiaTheme="majorEastAsia"/>
                <w:sz w:val="20"/>
                <w:szCs w:val="20"/>
              </w:rPr>
            </w:pPr>
            <w:r>
              <w:rPr>
                <w:rFonts w:eastAsiaTheme="majorEastAsia"/>
                <w:sz w:val="20"/>
                <w:szCs w:val="20"/>
              </w:rPr>
              <w:t>9.3%</w:t>
            </w:r>
          </w:p>
        </w:tc>
        <w:tc>
          <w:tcPr>
            <w:tcW w:w="940" w:type="dxa"/>
            <w:vAlign w:val="center"/>
          </w:tcPr>
          <w:p w14:paraId="7A553F58">
            <w:pPr>
              <w:pStyle w:val="26"/>
              <w:spacing w:after="240"/>
              <w:jc w:val="center"/>
              <w:rPr>
                <w:rFonts w:eastAsiaTheme="majorEastAsia"/>
                <w:sz w:val="20"/>
                <w:szCs w:val="20"/>
              </w:rPr>
            </w:pPr>
            <w:r>
              <w:rPr>
                <w:rFonts w:eastAsiaTheme="majorEastAsia"/>
                <w:sz w:val="20"/>
                <w:szCs w:val="20"/>
              </w:rPr>
              <w:t>5%</w:t>
            </w:r>
          </w:p>
        </w:tc>
        <w:tc>
          <w:tcPr>
            <w:tcW w:w="950" w:type="dxa"/>
            <w:vAlign w:val="center"/>
          </w:tcPr>
          <w:p w14:paraId="336BFFD7">
            <w:pPr>
              <w:pStyle w:val="26"/>
              <w:spacing w:after="240"/>
              <w:jc w:val="center"/>
              <w:rPr>
                <w:rFonts w:eastAsiaTheme="majorEastAsia"/>
                <w:sz w:val="20"/>
                <w:szCs w:val="20"/>
              </w:rPr>
            </w:pPr>
            <w:r>
              <w:rPr>
                <w:rFonts w:eastAsiaTheme="majorEastAsia"/>
                <w:sz w:val="20"/>
                <w:szCs w:val="20"/>
              </w:rPr>
              <w:t>10%</w:t>
            </w:r>
          </w:p>
        </w:tc>
        <w:tc>
          <w:tcPr>
            <w:tcW w:w="803" w:type="dxa"/>
            <w:vAlign w:val="center"/>
          </w:tcPr>
          <w:p w14:paraId="5142B219">
            <w:pPr>
              <w:pStyle w:val="26"/>
              <w:spacing w:after="240"/>
              <w:jc w:val="center"/>
              <w:rPr>
                <w:rFonts w:eastAsiaTheme="majorEastAsia"/>
                <w:sz w:val="20"/>
                <w:szCs w:val="20"/>
              </w:rPr>
            </w:pPr>
            <w:r>
              <w:rPr>
                <w:rFonts w:eastAsiaTheme="majorEastAsia"/>
                <w:sz w:val="20"/>
                <w:szCs w:val="20"/>
              </w:rPr>
              <w:t>5%</w:t>
            </w:r>
          </w:p>
        </w:tc>
        <w:tc>
          <w:tcPr>
            <w:tcW w:w="803" w:type="dxa"/>
            <w:vAlign w:val="center"/>
          </w:tcPr>
          <w:p w14:paraId="06B73E81">
            <w:pPr>
              <w:pStyle w:val="26"/>
              <w:spacing w:after="240"/>
              <w:jc w:val="center"/>
              <w:rPr>
                <w:rFonts w:eastAsiaTheme="majorEastAsia"/>
                <w:sz w:val="20"/>
                <w:szCs w:val="20"/>
              </w:rPr>
            </w:pPr>
            <w:r>
              <w:rPr>
                <w:rFonts w:eastAsiaTheme="majorEastAsia"/>
                <w:sz w:val="20"/>
                <w:szCs w:val="20"/>
              </w:rPr>
              <w:t>5%</w:t>
            </w:r>
          </w:p>
        </w:tc>
        <w:tc>
          <w:tcPr>
            <w:tcW w:w="961" w:type="dxa"/>
            <w:vAlign w:val="center"/>
          </w:tcPr>
          <w:p w14:paraId="3EE59109">
            <w:pPr>
              <w:pStyle w:val="26"/>
              <w:spacing w:after="240"/>
              <w:jc w:val="center"/>
              <w:rPr>
                <w:rFonts w:eastAsiaTheme="majorEastAsia"/>
                <w:sz w:val="20"/>
                <w:szCs w:val="20"/>
              </w:rPr>
            </w:pPr>
            <w:r>
              <w:rPr>
                <w:rFonts w:eastAsiaTheme="majorEastAsia"/>
                <w:sz w:val="20"/>
                <w:szCs w:val="20"/>
              </w:rPr>
              <w:t>0%</w:t>
            </w:r>
          </w:p>
        </w:tc>
        <w:tc>
          <w:tcPr>
            <w:tcW w:w="1350" w:type="dxa"/>
            <w:vAlign w:val="center"/>
          </w:tcPr>
          <w:p w14:paraId="07F9ECA0">
            <w:pPr>
              <w:pStyle w:val="26"/>
              <w:spacing w:after="240"/>
              <w:jc w:val="center"/>
              <w:rPr>
                <w:rFonts w:eastAsiaTheme="majorEastAsia"/>
                <w:sz w:val="20"/>
                <w:szCs w:val="20"/>
              </w:rPr>
            </w:pPr>
            <w:r>
              <w:rPr>
                <w:rFonts w:eastAsiaTheme="majorEastAsia"/>
                <w:sz w:val="20"/>
                <w:szCs w:val="20"/>
                <w:lang w:val="zh-CN"/>
              </w:rPr>
              <w:t>54.9</w:t>
            </w:r>
            <w:r>
              <w:rPr>
                <w:rFonts w:eastAsiaTheme="majorEastAsia"/>
                <w:sz w:val="20"/>
                <w:szCs w:val="20"/>
              </w:rPr>
              <w:t>%</w:t>
            </w:r>
          </w:p>
        </w:tc>
      </w:tr>
      <w:tr w14:paraId="61BB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585" w:type="dxa"/>
            <w:shd w:val="clear" w:color="auto" w:fill="FBE4D5" w:themeFill="accent2" w:themeFillTint="33"/>
            <w:vAlign w:val="center"/>
          </w:tcPr>
          <w:p w14:paraId="444D4299">
            <w:pPr>
              <w:pStyle w:val="26"/>
              <w:spacing w:after="240"/>
              <w:jc w:val="both"/>
              <w:rPr>
                <w:rFonts w:eastAsiaTheme="majorEastAsia"/>
                <w:b/>
                <w:bCs/>
                <w:sz w:val="20"/>
                <w:szCs w:val="20"/>
              </w:rPr>
            </w:pPr>
            <w:r>
              <w:rPr>
                <w:rFonts w:eastAsiaTheme="majorEastAsia"/>
                <w:b/>
                <w:bCs/>
                <w:sz w:val="20"/>
                <w:szCs w:val="20"/>
              </w:rPr>
              <w:t xml:space="preserve">2. </w:t>
            </w:r>
          </w:p>
        </w:tc>
        <w:tc>
          <w:tcPr>
            <w:tcW w:w="2830" w:type="dxa"/>
            <w:shd w:val="clear" w:color="auto" w:fill="FBE4D5" w:themeFill="accent2" w:themeFillTint="33"/>
            <w:tcMar>
              <w:top w:w="15" w:type="dxa"/>
              <w:left w:w="108" w:type="dxa"/>
              <w:bottom w:w="0" w:type="dxa"/>
              <w:right w:w="108" w:type="dxa"/>
            </w:tcMar>
            <w:vAlign w:val="center"/>
          </w:tcPr>
          <w:p w14:paraId="6300CE02">
            <w:pPr>
              <w:pStyle w:val="26"/>
              <w:spacing w:after="240"/>
              <w:jc w:val="both"/>
              <w:rPr>
                <w:rFonts w:eastAsiaTheme="majorEastAsia"/>
                <w:b/>
                <w:sz w:val="20"/>
                <w:szCs w:val="20"/>
              </w:rPr>
            </w:pPr>
            <w:r>
              <w:rPr>
                <w:rFonts w:eastAsiaTheme="majorEastAsia"/>
                <w:b/>
                <w:bCs/>
                <w:sz w:val="20"/>
                <w:szCs w:val="20"/>
              </w:rPr>
              <w:t xml:space="preserve">Proportion of the overall medium-term development plan implemented </w:t>
            </w:r>
          </w:p>
        </w:tc>
        <w:tc>
          <w:tcPr>
            <w:tcW w:w="1101" w:type="dxa"/>
            <w:tcMar>
              <w:top w:w="15" w:type="dxa"/>
              <w:left w:w="108" w:type="dxa"/>
              <w:bottom w:w="0" w:type="dxa"/>
              <w:right w:w="108" w:type="dxa"/>
            </w:tcMar>
            <w:vAlign w:val="center"/>
          </w:tcPr>
          <w:p w14:paraId="30EC082E">
            <w:pPr>
              <w:pStyle w:val="26"/>
              <w:spacing w:after="240"/>
              <w:jc w:val="center"/>
              <w:rPr>
                <w:rFonts w:eastAsiaTheme="majorEastAsia"/>
                <w:b/>
                <w:sz w:val="20"/>
                <w:szCs w:val="20"/>
              </w:rPr>
            </w:pPr>
            <w:r>
              <w:rPr>
                <w:rFonts w:eastAsiaTheme="majorEastAsia"/>
                <w:b/>
                <w:sz w:val="20"/>
                <w:szCs w:val="20"/>
              </w:rPr>
              <w:t>24.5%</w:t>
            </w:r>
          </w:p>
        </w:tc>
        <w:tc>
          <w:tcPr>
            <w:tcW w:w="1102" w:type="dxa"/>
            <w:tcMar>
              <w:top w:w="15" w:type="dxa"/>
              <w:left w:w="108" w:type="dxa"/>
              <w:bottom w:w="0" w:type="dxa"/>
              <w:right w:w="108" w:type="dxa"/>
            </w:tcMar>
            <w:vAlign w:val="center"/>
          </w:tcPr>
          <w:p w14:paraId="6A02A44D">
            <w:pPr>
              <w:pStyle w:val="26"/>
              <w:spacing w:after="240"/>
              <w:jc w:val="center"/>
              <w:rPr>
                <w:rFonts w:eastAsiaTheme="majorEastAsia"/>
                <w:b/>
                <w:sz w:val="20"/>
                <w:szCs w:val="20"/>
              </w:rPr>
            </w:pPr>
            <w:r>
              <w:rPr>
                <w:rFonts w:eastAsiaTheme="majorEastAsia"/>
                <w:b/>
                <w:sz w:val="20"/>
                <w:szCs w:val="20"/>
              </w:rPr>
              <w:t>52%</w:t>
            </w:r>
          </w:p>
        </w:tc>
        <w:tc>
          <w:tcPr>
            <w:tcW w:w="940" w:type="dxa"/>
            <w:vAlign w:val="center"/>
          </w:tcPr>
          <w:p w14:paraId="026604C7">
            <w:pPr>
              <w:pStyle w:val="26"/>
              <w:spacing w:after="240"/>
              <w:jc w:val="center"/>
              <w:rPr>
                <w:rFonts w:eastAsiaTheme="majorEastAsia"/>
                <w:b/>
                <w:sz w:val="20"/>
                <w:szCs w:val="20"/>
              </w:rPr>
            </w:pPr>
            <w:r>
              <w:rPr>
                <w:rFonts w:eastAsiaTheme="majorEastAsia"/>
                <w:b/>
                <w:sz w:val="20"/>
                <w:szCs w:val="20"/>
              </w:rPr>
              <w:t>75%</w:t>
            </w:r>
          </w:p>
        </w:tc>
        <w:tc>
          <w:tcPr>
            <w:tcW w:w="950" w:type="dxa"/>
            <w:vAlign w:val="center"/>
          </w:tcPr>
          <w:p w14:paraId="1ED201DD">
            <w:pPr>
              <w:pStyle w:val="26"/>
              <w:spacing w:after="240"/>
              <w:jc w:val="center"/>
              <w:rPr>
                <w:rFonts w:eastAsiaTheme="majorEastAsia"/>
                <w:b/>
                <w:sz w:val="20"/>
                <w:szCs w:val="20"/>
              </w:rPr>
            </w:pPr>
            <w:r>
              <w:rPr>
                <w:rFonts w:eastAsiaTheme="majorEastAsia"/>
                <w:b/>
                <w:sz w:val="20"/>
                <w:szCs w:val="20"/>
              </w:rPr>
              <w:t>84%</w:t>
            </w:r>
          </w:p>
        </w:tc>
        <w:tc>
          <w:tcPr>
            <w:tcW w:w="803" w:type="dxa"/>
            <w:vAlign w:val="center"/>
          </w:tcPr>
          <w:p w14:paraId="799E3E45">
            <w:pPr>
              <w:pStyle w:val="26"/>
              <w:spacing w:after="240"/>
              <w:jc w:val="center"/>
              <w:rPr>
                <w:rFonts w:eastAsiaTheme="majorEastAsia"/>
                <w:b/>
                <w:bCs/>
                <w:sz w:val="20"/>
                <w:szCs w:val="20"/>
              </w:rPr>
            </w:pPr>
            <w:r>
              <w:rPr>
                <w:rFonts w:eastAsiaTheme="majorEastAsia"/>
                <w:b/>
                <w:bCs/>
                <w:sz w:val="20"/>
                <w:szCs w:val="20"/>
              </w:rPr>
              <w:t>95%</w:t>
            </w:r>
          </w:p>
        </w:tc>
        <w:tc>
          <w:tcPr>
            <w:tcW w:w="803" w:type="dxa"/>
            <w:vAlign w:val="center"/>
          </w:tcPr>
          <w:p w14:paraId="46C7DCBE">
            <w:pPr>
              <w:pStyle w:val="26"/>
              <w:spacing w:after="240"/>
              <w:jc w:val="center"/>
              <w:rPr>
                <w:rFonts w:eastAsiaTheme="majorEastAsia"/>
                <w:b/>
                <w:bCs/>
                <w:sz w:val="20"/>
                <w:szCs w:val="20"/>
              </w:rPr>
            </w:pPr>
            <w:r>
              <w:rPr>
                <w:rFonts w:eastAsiaTheme="majorEastAsia"/>
                <w:b/>
                <w:bCs/>
                <w:sz w:val="20"/>
                <w:szCs w:val="20"/>
              </w:rPr>
              <w:t>91.64%</w:t>
            </w:r>
          </w:p>
        </w:tc>
        <w:tc>
          <w:tcPr>
            <w:tcW w:w="961" w:type="dxa"/>
            <w:vAlign w:val="center"/>
          </w:tcPr>
          <w:p w14:paraId="7C6C52A4">
            <w:pPr>
              <w:pStyle w:val="26"/>
              <w:spacing w:after="240"/>
              <w:jc w:val="center"/>
              <w:rPr>
                <w:rFonts w:eastAsiaTheme="majorEastAsia"/>
                <w:b/>
                <w:bCs/>
                <w:sz w:val="20"/>
                <w:szCs w:val="20"/>
              </w:rPr>
            </w:pPr>
            <w:r>
              <w:rPr>
                <w:rFonts w:eastAsiaTheme="majorEastAsia"/>
                <w:b/>
                <w:bCs/>
                <w:sz w:val="20"/>
                <w:szCs w:val="20"/>
              </w:rPr>
              <w:t>25%</w:t>
            </w:r>
          </w:p>
        </w:tc>
        <w:tc>
          <w:tcPr>
            <w:tcW w:w="1350" w:type="dxa"/>
            <w:vAlign w:val="center"/>
          </w:tcPr>
          <w:p w14:paraId="62AB53D0">
            <w:pPr>
              <w:pStyle w:val="26"/>
              <w:spacing w:after="240"/>
              <w:jc w:val="center"/>
              <w:rPr>
                <w:rFonts w:eastAsiaTheme="majorEastAsia"/>
                <w:b/>
                <w:bCs/>
                <w:sz w:val="20"/>
                <w:szCs w:val="20"/>
              </w:rPr>
            </w:pPr>
            <w:r>
              <w:rPr>
                <w:rFonts w:eastAsiaTheme="majorEastAsia"/>
                <w:b/>
                <w:bCs/>
                <w:sz w:val="20"/>
                <w:szCs w:val="20"/>
                <w:lang w:val="zh-CN"/>
              </w:rPr>
              <w:t>10</w:t>
            </w:r>
            <w:r>
              <w:rPr>
                <w:rFonts w:eastAsiaTheme="majorEastAsia"/>
                <w:b/>
                <w:bCs/>
                <w:sz w:val="20"/>
                <w:szCs w:val="20"/>
              </w:rPr>
              <w:t>.40%</w:t>
            </w:r>
          </w:p>
        </w:tc>
      </w:tr>
      <w:bookmarkEnd w:id="34"/>
    </w:tbl>
    <w:p w14:paraId="68469330">
      <w:pPr>
        <w:pStyle w:val="26"/>
        <w:spacing w:after="240"/>
        <w:jc w:val="both"/>
        <w:rPr>
          <w:rStyle w:val="14"/>
          <w:rFonts w:eastAsiaTheme="majorEastAsia"/>
          <w:b/>
          <w:i/>
          <w:sz w:val="20"/>
          <w:szCs w:val="20"/>
        </w:rPr>
      </w:pPr>
      <w:r>
        <w:rPr>
          <w:rStyle w:val="14"/>
          <w:rFonts w:eastAsiaTheme="majorEastAsia"/>
          <w:b/>
          <w:i/>
          <w:sz w:val="20"/>
          <w:szCs w:val="20"/>
        </w:rPr>
        <w:t>Source: District Planning Co-ordinating Unit, BNDA. April -2026.</w:t>
      </w:r>
    </w:p>
    <w:p w14:paraId="76897951">
      <w:pPr>
        <w:pStyle w:val="4"/>
        <w:rPr>
          <w:rFonts w:eastAsia="Times New Roman"/>
          <w:b/>
          <w:bCs/>
          <w:i/>
          <w:iCs/>
          <w:color w:val="auto"/>
        </w:rPr>
      </w:pPr>
      <w:bookmarkStart w:id="35" w:name="_Toc230260721"/>
      <w:r>
        <w:rPr>
          <w:rFonts w:eastAsia="Times New Roman"/>
          <w:b/>
          <w:bCs/>
          <w:i/>
          <w:iCs/>
          <w:color w:val="auto"/>
        </w:rPr>
        <w:t>1.4.2 Analysis of Quarterly Implementation of Planned Activities (As at First Quarter 2026)</w:t>
      </w:r>
      <w:bookmarkEnd w:id="35"/>
    </w:p>
    <w:p w14:paraId="13001350">
      <w:pPr>
        <w:spacing w:before="100" w:beforeAutospacing="1" w:after="100" w:afterAutospacing="1" w:line="360" w:lineRule="auto"/>
        <w:jc w:val="both"/>
        <w:rPr>
          <w:rFonts w:ascii="Times New Roman" w:hAnsi="Times New Roman" w:eastAsia="Times New Roman" w:cs="Times New Roman"/>
          <w:i/>
          <w:sz w:val="24"/>
          <w:szCs w:val="24"/>
        </w:rPr>
      </w:pPr>
      <w:r>
        <w:rPr>
          <w:rFonts w:ascii="Times New Roman" w:hAnsi="Times New Roman" w:eastAsia="Times New Roman" w:cs="Times New Roman"/>
          <w:iCs/>
          <w:sz w:val="24"/>
          <w:szCs w:val="24"/>
        </w:rPr>
        <w:t xml:space="preserve">The First Quarter of 2026 reflects the initial operational phase of the 2026 Annual Action Plan under the 2026–2029 Medium-Term Development Plan (DMTDP). During the period under review, a total of </w:t>
      </w:r>
      <w:r>
        <w:rPr>
          <w:rFonts w:ascii="Times New Roman" w:hAnsi="Times New Roman" w:eastAsia="Times New Roman" w:cs="Times New Roman"/>
          <w:bCs/>
          <w:iCs/>
          <w:sz w:val="24"/>
          <w:szCs w:val="24"/>
          <w:lang w:val="zh-CN"/>
        </w:rPr>
        <w:t>92</w:t>
      </w:r>
      <w:r>
        <w:rPr>
          <w:rFonts w:ascii="Times New Roman" w:hAnsi="Times New Roman" w:eastAsia="Times New Roman" w:cs="Times New Roman"/>
          <w:bCs/>
          <w:iCs/>
          <w:sz w:val="24"/>
          <w:szCs w:val="24"/>
        </w:rPr>
        <w:t xml:space="preserve"> activities were implemented out of 204 planned activities</w:t>
      </w:r>
      <w:r>
        <w:rPr>
          <w:rFonts w:ascii="Times New Roman" w:hAnsi="Times New Roman" w:eastAsia="Times New Roman" w:cs="Times New Roman"/>
          <w:iCs/>
          <w:sz w:val="24"/>
          <w:szCs w:val="24"/>
        </w:rPr>
        <w:t xml:space="preserve">, representing an overall implementation performance of </w:t>
      </w:r>
      <w:r>
        <w:rPr>
          <w:rFonts w:ascii="Times New Roman" w:hAnsi="Times New Roman" w:eastAsia="Times New Roman" w:cs="Times New Roman"/>
          <w:bCs/>
          <w:iCs/>
          <w:sz w:val="24"/>
          <w:szCs w:val="24"/>
          <w:lang w:val="zh-CN"/>
        </w:rPr>
        <w:t>45</w:t>
      </w:r>
      <w:r>
        <w:rPr>
          <w:rFonts w:ascii="Times New Roman" w:hAnsi="Times New Roman" w:eastAsia="Times New Roman" w:cs="Times New Roman"/>
          <w:bCs/>
          <w:iCs/>
          <w:sz w:val="24"/>
          <w:szCs w:val="24"/>
        </w:rPr>
        <w:t>.</w:t>
      </w:r>
      <w:r>
        <w:rPr>
          <w:rFonts w:ascii="Times New Roman" w:hAnsi="Times New Roman" w:eastAsia="Times New Roman" w:cs="Times New Roman"/>
          <w:bCs/>
          <w:iCs/>
          <w:sz w:val="24"/>
          <w:szCs w:val="24"/>
          <w:lang w:val="zh-CN"/>
        </w:rPr>
        <w:t>1</w:t>
      </w:r>
      <w:r>
        <w:rPr>
          <w:rFonts w:ascii="Times New Roman" w:hAnsi="Times New Roman" w:eastAsia="Times New Roman" w:cs="Times New Roman"/>
          <w:bCs/>
          <w:iCs/>
          <w:sz w:val="24"/>
          <w:szCs w:val="24"/>
        </w:rPr>
        <w:t>0%</w:t>
      </w:r>
      <w:r>
        <w:rPr>
          <w:rFonts w:ascii="Times New Roman" w:hAnsi="Times New Roman" w:eastAsia="Times New Roman" w:cs="Times New Roman"/>
          <w:iCs/>
          <w:sz w:val="24"/>
          <w:szCs w:val="24"/>
        </w:rPr>
        <w:t>. This level of performance is considered moderate and appropriate for the commencement stage of a new planning cycle, where emphasis is typically placed on project mobilization, procurement processes, continuation of ongoing interventions, and preparatory activities.</w:t>
      </w:r>
    </w:p>
    <w:p w14:paraId="04F19359">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The performance recorded during the quarter was influenced by variations in project readiness, timing of fund releases, and the sequencing of procurement and contract arrangements. Activities that were already on</w:t>
      </w:r>
      <w:r>
        <w:rPr>
          <w:rFonts w:ascii="Times New Roman" w:hAnsi="Times New Roman" w:eastAsia="Times New Roman" w:cs="Times New Roman"/>
          <w:iCs/>
          <w:sz w:val="24"/>
          <w:szCs w:val="24"/>
          <w:lang w:val="zh-CN"/>
        </w:rPr>
        <w:t>-</w:t>
      </w:r>
      <w:r>
        <w:rPr>
          <w:rFonts w:ascii="Times New Roman" w:hAnsi="Times New Roman" w:eastAsia="Times New Roman" w:cs="Times New Roman"/>
          <w:iCs/>
          <w:sz w:val="24"/>
          <w:szCs w:val="24"/>
        </w:rPr>
        <w:t>going or required minimal preparatory work progressed faster, while new capital-intensive interventions remained largely at early stages of implementation.</w:t>
      </w:r>
    </w:p>
    <w:p w14:paraId="42AE620C">
      <w:pPr>
        <w:spacing w:line="360" w:lineRule="auto"/>
        <w:jc w:val="both"/>
        <w:rPr>
          <w:rFonts w:ascii="Times New Roman" w:hAnsi="Times New Roman" w:eastAsia="Times New Roman" w:cs="Times New Roman"/>
          <w:b/>
          <w:bCs/>
          <w:iCs/>
          <w:sz w:val="24"/>
          <w:szCs w:val="24"/>
        </w:rPr>
      </w:pPr>
      <w:r>
        <w:rPr>
          <w:rFonts w:ascii="Times New Roman" w:hAnsi="Times New Roman" w:eastAsia="Times New Roman" w:cs="Times New Roman"/>
          <w:b/>
          <w:bCs/>
          <w:iCs/>
          <w:sz w:val="24"/>
          <w:szCs w:val="24"/>
        </w:rPr>
        <w:t>1.4.3 Status of Implementation of the Annual Action Plan</w:t>
      </w:r>
    </w:p>
    <w:p w14:paraId="36F44059">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 xml:space="preserve">Out of the total </w:t>
      </w:r>
      <w:r>
        <w:rPr>
          <w:rFonts w:ascii="Times New Roman" w:hAnsi="Times New Roman" w:eastAsia="Times New Roman" w:cs="Times New Roman"/>
          <w:bCs/>
          <w:iCs/>
          <w:sz w:val="24"/>
          <w:szCs w:val="24"/>
        </w:rPr>
        <w:t>204 planned activities</w:t>
      </w:r>
      <w:r>
        <w:rPr>
          <w:rFonts w:ascii="Times New Roman" w:hAnsi="Times New Roman" w:eastAsia="Times New Roman" w:cs="Times New Roman"/>
          <w:iCs/>
          <w:sz w:val="24"/>
          <w:szCs w:val="24"/>
        </w:rPr>
        <w:t xml:space="preserve">, </w:t>
      </w:r>
      <w:r>
        <w:rPr>
          <w:rFonts w:ascii="Times New Roman" w:hAnsi="Times New Roman" w:eastAsia="Times New Roman" w:cs="Times New Roman"/>
          <w:bCs/>
          <w:iCs/>
          <w:sz w:val="24"/>
          <w:szCs w:val="24"/>
          <w:lang w:val="zh-CN"/>
        </w:rPr>
        <w:t>92</w:t>
      </w:r>
      <w:r>
        <w:rPr>
          <w:rFonts w:ascii="Times New Roman" w:hAnsi="Times New Roman" w:eastAsia="Times New Roman" w:cs="Times New Roman"/>
          <w:bCs/>
          <w:iCs/>
          <w:sz w:val="24"/>
          <w:szCs w:val="24"/>
        </w:rPr>
        <w:t xml:space="preserve"> were implemented,</w:t>
      </w:r>
      <w:r>
        <w:rPr>
          <w:rFonts w:ascii="Times New Roman" w:hAnsi="Times New Roman" w:eastAsia="Times New Roman" w:cs="Times New Roman"/>
          <w:bCs/>
          <w:iCs/>
          <w:sz w:val="24"/>
          <w:szCs w:val="24"/>
          <w:lang w:val="zh-CN"/>
        </w:rPr>
        <w:t xml:space="preserve"> representing 45.1%</w:t>
      </w:r>
      <w:r>
        <w:rPr>
          <w:rFonts w:ascii="Times New Roman" w:hAnsi="Times New Roman" w:eastAsia="Times New Roman" w:cs="Times New Roman"/>
          <w:iCs/>
          <w:sz w:val="24"/>
          <w:szCs w:val="24"/>
        </w:rPr>
        <w:t xml:space="preserve">, while </w:t>
      </w:r>
      <w:r>
        <w:rPr>
          <w:rFonts w:ascii="Times New Roman" w:hAnsi="Times New Roman" w:eastAsia="Times New Roman" w:cs="Times New Roman"/>
          <w:bCs/>
          <w:iCs/>
          <w:sz w:val="24"/>
          <w:szCs w:val="24"/>
        </w:rPr>
        <w:t>1</w:t>
      </w:r>
      <w:r>
        <w:rPr>
          <w:rFonts w:ascii="Times New Roman" w:hAnsi="Times New Roman" w:eastAsia="Times New Roman" w:cs="Times New Roman"/>
          <w:bCs/>
          <w:iCs/>
          <w:sz w:val="24"/>
          <w:szCs w:val="24"/>
          <w:lang w:val="zh-CN"/>
        </w:rPr>
        <w:t>1</w:t>
      </w:r>
      <w:r>
        <w:rPr>
          <w:rFonts w:ascii="Times New Roman" w:hAnsi="Times New Roman" w:eastAsia="Times New Roman" w:cs="Times New Roman"/>
          <w:bCs/>
          <w:iCs/>
          <w:sz w:val="24"/>
          <w:szCs w:val="24"/>
        </w:rPr>
        <w:t>2 activities (5</w:t>
      </w:r>
      <w:r>
        <w:rPr>
          <w:rFonts w:ascii="Times New Roman" w:hAnsi="Times New Roman" w:eastAsia="Times New Roman" w:cs="Times New Roman"/>
          <w:bCs/>
          <w:iCs/>
          <w:sz w:val="24"/>
          <w:szCs w:val="24"/>
          <w:lang w:val="zh-CN"/>
        </w:rPr>
        <w:t>4</w:t>
      </w:r>
      <w:r>
        <w:rPr>
          <w:rFonts w:ascii="Times New Roman" w:hAnsi="Times New Roman" w:eastAsia="Times New Roman" w:cs="Times New Roman"/>
          <w:bCs/>
          <w:iCs/>
          <w:sz w:val="24"/>
          <w:szCs w:val="24"/>
        </w:rPr>
        <w:t>.</w:t>
      </w:r>
      <w:r>
        <w:rPr>
          <w:rFonts w:ascii="Times New Roman" w:hAnsi="Times New Roman" w:eastAsia="Times New Roman" w:cs="Times New Roman"/>
          <w:bCs/>
          <w:iCs/>
          <w:sz w:val="24"/>
          <w:szCs w:val="24"/>
          <w:lang w:val="zh-CN"/>
        </w:rPr>
        <w:t>9</w:t>
      </w:r>
      <w:r>
        <w:rPr>
          <w:rFonts w:ascii="Times New Roman" w:hAnsi="Times New Roman" w:eastAsia="Times New Roman" w:cs="Times New Roman"/>
          <w:bCs/>
          <w:iCs/>
          <w:sz w:val="24"/>
          <w:szCs w:val="24"/>
        </w:rPr>
        <w:t>0%) were yet to commence or were at preparatory stages</w:t>
      </w:r>
      <w:r>
        <w:rPr>
          <w:rFonts w:ascii="Times New Roman" w:hAnsi="Times New Roman" w:eastAsia="Times New Roman" w:cs="Times New Roman"/>
          <w:iCs/>
          <w:sz w:val="24"/>
          <w:szCs w:val="24"/>
        </w:rPr>
        <w:t>. This reflects the typical implementation pattern of a first-quarter period, where a significant proportion of activities are still undergoing procurement, mobilization, or initial planning processes.</w:t>
      </w:r>
    </w:p>
    <w:p w14:paraId="535575F1">
      <w:pPr>
        <w:pStyle w:val="8"/>
        <w:keepNext/>
        <w:jc w:val="both"/>
        <w:rPr>
          <w:color w:val="auto"/>
        </w:rPr>
      </w:pPr>
      <w:bookmarkStart w:id="36" w:name="_Toc229970870"/>
      <w:r>
        <w:rPr>
          <w:color w:val="auto"/>
        </w:rPr>
        <w:drawing>
          <wp:anchor distT="0" distB="0" distL="114300" distR="114300" simplePos="0" relativeHeight="251680768" behindDoc="0" locked="0" layoutInCell="1" allowOverlap="1">
            <wp:simplePos x="0" y="0"/>
            <wp:positionH relativeFrom="margin">
              <wp:align>left</wp:align>
            </wp:positionH>
            <wp:positionV relativeFrom="paragraph">
              <wp:posOffset>260350</wp:posOffset>
            </wp:positionV>
            <wp:extent cx="5991860" cy="1814830"/>
            <wp:effectExtent l="0" t="0" r="8890" b="13970"/>
            <wp:wrapSquare wrapText="bothSides"/>
            <wp:docPr id="915901454" name="Chart 915901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w:t>
      </w:r>
      <w:r>
        <w:rPr>
          <w:color w:val="auto"/>
        </w:rPr>
        <w:fldChar w:fldCharType="end"/>
      </w:r>
      <w:r>
        <w:rPr>
          <w:color w:val="auto"/>
        </w:rPr>
        <w:t>: LEVEL OF IMPLEMENTATION OF THE 2026 ANNUAL ACTION PLAN (AAP)</w:t>
      </w:r>
      <w:bookmarkEnd w:id="36"/>
    </w:p>
    <w:p w14:paraId="109A6FB4">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br w:type="textWrapping" w:clear="all"/>
      </w:r>
    </w:p>
    <w:p w14:paraId="0FBBF501">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 xml:space="preserve">The recorded </w:t>
      </w:r>
      <w:r>
        <w:rPr>
          <w:rFonts w:ascii="Times New Roman" w:hAnsi="Times New Roman" w:eastAsia="Times New Roman" w:cs="Times New Roman"/>
          <w:bCs/>
          <w:iCs/>
          <w:sz w:val="24"/>
          <w:szCs w:val="24"/>
        </w:rPr>
        <w:t>40.70% implementation rate</w:t>
      </w:r>
      <w:r>
        <w:rPr>
          <w:rFonts w:ascii="Times New Roman" w:hAnsi="Times New Roman" w:eastAsia="Times New Roman" w:cs="Times New Roman"/>
          <w:iCs/>
          <w:sz w:val="24"/>
          <w:szCs w:val="24"/>
        </w:rPr>
        <w:t xml:space="preserve"> represents activities that reached measurable stages of execution</w:t>
      </w:r>
      <w:r>
        <w:rPr>
          <w:rFonts w:ascii="Times New Roman" w:hAnsi="Times New Roman" w:eastAsia="Times New Roman" w:cs="Times New Roman"/>
          <w:iCs/>
          <w:sz w:val="24"/>
          <w:szCs w:val="24"/>
          <w:lang w:val="zh-CN"/>
        </w:rPr>
        <w:t xml:space="preserve"> and 4.4% of the planned activities have been completed</w:t>
      </w:r>
      <w:r>
        <w:rPr>
          <w:rFonts w:ascii="Times New Roman" w:hAnsi="Times New Roman" w:eastAsia="Times New Roman" w:cs="Times New Roman"/>
          <w:iCs/>
          <w:sz w:val="24"/>
          <w:szCs w:val="24"/>
        </w:rPr>
        <w:t xml:space="preserve">. Notably, </w:t>
      </w:r>
      <w:r>
        <w:rPr>
          <w:rFonts w:ascii="Times New Roman" w:hAnsi="Times New Roman" w:eastAsia="Times New Roman" w:cs="Times New Roman"/>
          <w:bCs/>
          <w:iCs/>
          <w:sz w:val="24"/>
          <w:szCs w:val="24"/>
        </w:rPr>
        <w:t>no interventions were abandoned</w:t>
      </w:r>
      <w:r>
        <w:rPr>
          <w:rFonts w:ascii="Times New Roman" w:hAnsi="Times New Roman" w:eastAsia="Times New Roman" w:cs="Times New Roman"/>
          <w:iCs/>
          <w:sz w:val="24"/>
          <w:szCs w:val="24"/>
        </w:rPr>
        <w:t>, indicating strong continuity in planning and implementation processes across sectors.</w:t>
      </w:r>
    </w:p>
    <w:p w14:paraId="38B2EC13">
      <w:pPr>
        <w:pStyle w:val="8"/>
        <w:keepNext/>
        <w:jc w:val="both"/>
        <w:rPr>
          <w:color w:val="auto"/>
        </w:rPr>
      </w:pPr>
      <w:bookmarkStart w:id="37" w:name="_Toc229970871"/>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3</w:t>
      </w:r>
      <w:r>
        <w:rPr>
          <w:color w:val="auto"/>
        </w:rPr>
        <w:fldChar w:fldCharType="end"/>
      </w:r>
      <w:r>
        <w:rPr>
          <w:color w:val="auto"/>
        </w:rPr>
        <w:t>: PROPORTION OF THE 2026 ANNUAL ACTION PLAN (AAP) IMPLEMENTED</w:t>
      </w:r>
      <w:bookmarkEnd w:id="37"/>
    </w:p>
    <w:p w14:paraId="43175E08">
      <w:pPr>
        <w:spacing w:line="360" w:lineRule="auto"/>
        <w:jc w:val="both"/>
        <w:rPr>
          <w:rFonts w:ascii="Times New Roman" w:hAnsi="Times New Roman" w:eastAsia="Times New Roman" w:cs="Times New Roman"/>
          <w:iCs/>
          <w:sz w:val="24"/>
          <w:szCs w:val="24"/>
        </w:rPr>
      </w:pPr>
      <w:r>
        <w:drawing>
          <wp:inline distT="0" distB="0" distL="0" distR="0">
            <wp:extent cx="6435090" cy="2743200"/>
            <wp:effectExtent l="0" t="0" r="3810" b="0"/>
            <wp:docPr id="915901455" name="Chart 915901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7F3D88">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The relatively high proportion of yet-to-start activities is largely attributed to delays in procurement processes, funding disbursement schedules, and the staggered commencement of projects across departments.</w:t>
      </w:r>
    </w:p>
    <w:p w14:paraId="16688870">
      <w:pPr>
        <w:pStyle w:val="4"/>
        <w:spacing w:after="240"/>
        <w:rPr>
          <w:rFonts w:eastAsia="Times New Roman"/>
          <w:b/>
          <w:bCs/>
          <w:i/>
          <w:iCs/>
          <w:color w:val="auto"/>
        </w:rPr>
      </w:pPr>
      <w:bookmarkStart w:id="38" w:name="_Toc230260722"/>
      <w:r>
        <w:rPr>
          <w:rFonts w:eastAsia="Times New Roman"/>
          <w:b/>
          <w:bCs/>
          <w:i/>
          <w:iCs/>
          <w:color w:val="auto"/>
        </w:rPr>
        <w:t>1.4.4 Implementation of the Medium-Term Development Plan (DMTDP)</w:t>
      </w:r>
      <w:bookmarkEnd w:id="38"/>
    </w:p>
    <w:p w14:paraId="4346F83F">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 xml:space="preserve">The District Medium-Term Development Plan (DMTDP), comprising </w:t>
      </w:r>
      <w:r>
        <w:rPr>
          <w:rFonts w:ascii="Times New Roman" w:hAnsi="Times New Roman" w:eastAsia="Times New Roman" w:cs="Times New Roman"/>
          <w:bCs/>
          <w:iCs/>
          <w:sz w:val="24"/>
          <w:szCs w:val="24"/>
        </w:rPr>
        <w:t>88</w:t>
      </w:r>
      <w:r>
        <w:rPr>
          <w:rFonts w:ascii="Times New Roman" w:hAnsi="Times New Roman" w:eastAsia="Times New Roman" w:cs="Times New Roman"/>
          <w:bCs/>
          <w:iCs/>
          <w:sz w:val="24"/>
          <w:szCs w:val="24"/>
          <w:lang w:val="zh-CN"/>
        </w:rPr>
        <w:t>7</w:t>
      </w:r>
      <w:r>
        <w:rPr>
          <w:rFonts w:ascii="Times New Roman" w:hAnsi="Times New Roman" w:eastAsia="Times New Roman" w:cs="Times New Roman"/>
          <w:bCs/>
          <w:iCs/>
          <w:sz w:val="24"/>
          <w:szCs w:val="24"/>
        </w:rPr>
        <w:t xml:space="preserve"> activities</w:t>
      </w:r>
      <w:r>
        <w:rPr>
          <w:rFonts w:ascii="Times New Roman" w:hAnsi="Times New Roman" w:eastAsia="Times New Roman" w:cs="Times New Roman"/>
          <w:iCs/>
          <w:sz w:val="24"/>
          <w:szCs w:val="24"/>
        </w:rPr>
        <w:t xml:space="preserve">, recorded </w:t>
      </w:r>
      <w:r>
        <w:rPr>
          <w:rFonts w:ascii="Times New Roman" w:hAnsi="Times New Roman" w:eastAsia="Times New Roman" w:cs="Times New Roman"/>
          <w:bCs/>
          <w:iCs/>
          <w:sz w:val="24"/>
          <w:szCs w:val="24"/>
          <w:lang w:val="zh-CN"/>
        </w:rPr>
        <w:t>92</w:t>
      </w:r>
      <w:r>
        <w:rPr>
          <w:rFonts w:ascii="Times New Roman" w:hAnsi="Times New Roman" w:eastAsia="Times New Roman" w:cs="Times New Roman"/>
          <w:bCs/>
          <w:iCs/>
          <w:sz w:val="24"/>
          <w:szCs w:val="24"/>
        </w:rPr>
        <w:t xml:space="preserve"> implemented activities in the First Quarter of 2026</w:t>
      </w:r>
      <w:r>
        <w:rPr>
          <w:rFonts w:ascii="Times New Roman" w:hAnsi="Times New Roman" w:eastAsia="Times New Roman" w:cs="Times New Roman"/>
          <w:iCs/>
          <w:sz w:val="24"/>
          <w:szCs w:val="24"/>
        </w:rPr>
        <w:t xml:space="preserve">, representing an overall implementation level of </w:t>
      </w:r>
      <w:r>
        <w:rPr>
          <w:rFonts w:ascii="Times New Roman" w:hAnsi="Times New Roman" w:eastAsia="Times New Roman" w:cs="Times New Roman"/>
          <w:bCs/>
          <w:iCs/>
          <w:sz w:val="24"/>
          <w:szCs w:val="24"/>
        </w:rPr>
        <w:t xml:space="preserve">approximately </w:t>
      </w:r>
      <w:r>
        <w:rPr>
          <w:rFonts w:ascii="Times New Roman" w:hAnsi="Times New Roman" w:eastAsia="Times New Roman" w:cs="Times New Roman"/>
          <w:bCs/>
          <w:iCs/>
          <w:sz w:val="24"/>
          <w:szCs w:val="24"/>
          <w:lang w:val="zh-CN"/>
        </w:rPr>
        <w:t>10</w:t>
      </w:r>
      <w:r>
        <w:rPr>
          <w:rFonts w:ascii="Times New Roman" w:hAnsi="Times New Roman" w:eastAsia="Times New Roman" w:cs="Times New Roman"/>
          <w:bCs/>
          <w:iCs/>
          <w:sz w:val="24"/>
          <w:szCs w:val="24"/>
        </w:rPr>
        <w:t>.4%</w:t>
      </w:r>
      <w:r>
        <w:rPr>
          <w:rFonts w:ascii="Times New Roman" w:hAnsi="Times New Roman" w:eastAsia="Times New Roman" w:cs="Times New Roman"/>
          <w:iCs/>
          <w:sz w:val="24"/>
          <w:szCs w:val="24"/>
        </w:rPr>
        <w:t>.</w:t>
      </w:r>
    </w:p>
    <w:p w14:paraId="14AE4E46">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This level of performance reflects the early-stage rollout of the plan, where implementation is focused primarily on foundational and preparatory activities. Given the broad scope of the DMTDP, which includes policy interventions, institutional strengthening, infrastructure development, and service delivery improvements, implementation is expected to be gradual and cumulative over the planning period.</w:t>
      </w:r>
    </w:p>
    <w:p w14:paraId="7DFD8E8B">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 xml:space="preserve">The </w:t>
      </w:r>
      <w:r>
        <w:rPr>
          <w:rFonts w:ascii="Times New Roman" w:hAnsi="Times New Roman" w:eastAsia="Times New Roman" w:cs="Times New Roman"/>
          <w:iCs/>
          <w:sz w:val="24"/>
          <w:szCs w:val="24"/>
          <w:lang w:val="zh-CN"/>
        </w:rPr>
        <w:t>10.4</w:t>
      </w:r>
      <w:r>
        <w:rPr>
          <w:rFonts w:ascii="Times New Roman" w:hAnsi="Times New Roman" w:eastAsia="Times New Roman" w:cs="Times New Roman"/>
          <w:iCs/>
          <w:sz w:val="24"/>
          <w:szCs w:val="24"/>
        </w:rPr>
        <w:t>% achievement, therefore, represents an initial baseline performance, with stronger implementation expected in subsequent quarters as projects transition from preparatory stages into full execution.</w:t>
      </w:r>
    </w:p>
    <w:p w14:paraId="035276C4">
      <w:pPr>
        <w:pStyle w:val="8"/>
        <w:keepNext/>
        <w:jc w:val="both"/>
        <w:rPr>
          <w:color w:val="auto"/>
        </w:rPr>
      </w:pPr>
      <w:bookmarkStart w:id="39" w:name="_Toc229970872"/>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4</w:t>
      </w:r>
      <w:r>
        <w:rPr>
          <w:color w:val="auto"/>
        </w:rPr>
        <w:fldChar w:fldCharType="end"/>
      </w:r>
      <w:r>
        <w:rPr>
          <w:color w:val="auto"/>
        </w:rPr>
        <w:t>: PROPORTION OF THE 2026-2029 MEDIUM TERM PLAN IMPLEMENTED</w:t>
      </w:r>
      <w:bookmarkEnd w:id="39"/>
    </w:p>
    <w:p w14:paraId="0DA2F1E2">
      <w:pPr>
        <w:spacing w:line="360" w:lineRule="auto"/>
        <w:jc w:val="both"/>
        <w:rPr>
          <w:rFonts w:ascii="Times New Roman" w:hAnsi="Times New Roman" w:eastAsia="Times New Roman" w:cs="Times New Roman"/>
          <w:iCs/>
          <w:sz w:val="24"/>
          <w:szCs w:val="24"/>
        </w:rPr>
      </w:pPr>
      <w:r>
        <w:drawing>
          <wp:inline distT="0" distB="0" distL="0" distR="0">
            <wp:extent cx="6180455" cy="2743200"/>
            <wp:effectExtent l="0" t="0" r="10795" b="0"/>
            <wp:docPr id="915901456" name="Chart 915901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2612D1">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 xml:space="preserve">It is evident from figure 5 above that, First Quarter of 2026 represents a </w:t>
      </w:r>
      <w:r>
        <w:rPr>
          <w:rFonts w:ascii="Times New Roman" w:hAnsi="Times New Roman" w:eastAsia="Times New Roman" w:cs="Times New Roman"/>
          <w:bCs/>
          <w:iCs/>
          <w:sz w:val="24"/>
          <w:szCs w:val="24"/>
        </w:rPr>
        <w:t>moderate but stable start to implementation</w:t>
      </w:r>
      <w:r>
        <w:rPr>
          <w:rFonts w:ascii="Times New Roman" w:hAnsi="Times New Roman" w:eastAsia="Times New Roman" w:cs="Times New Roman"/>
          <w:iCs/>
          <w:sz w:val="24"/>
          <w:szCs w:val="24"/>
        </w:rPr>
        <w:t xml:space="preserve"> under the 2026–2029 development cycle. The achievement of </w:t>
      </w:r>
      <w:r>
        <w:rPr>
          <w:rFonts w:ascii="Times New Roman" w:hAnsi="Times New Roman" w:eastAsia="Times New Roman" w:cs="Times New Roman"/>
          <w:bCs/>
          <w:iCs/>
          <w:sz w:val="24"/>
          <w:szCs w:val="24"/>
          <w:lang w:val="zh-CN"/>
        </w:rPr>
        <w:t>45.10</w:t>
      </w:r>
      <w:r>
        <w:rPr>
          <w:rFonts w:ascii="Times New Roman" w:hAnsi="Times New Roman" w:eastAsia="Times New Roman" w:cs="Times New Roman"/>
          <w:bCs/>
          <w:iCs/>
          <w:sz w:val="24"/>
          <w:szCs w:val="24"/>
        </w:rPr>
        <w:t>% implementation under the Annual Action Plan</w:t>
      </w:r>
      <w:r>
        <w:rPr>
          <w:rFonts w:ascii="Times New Roman" w:hAnsi="Times New Roman" w:eastAsia="Times New Roman" w:cs="Times New Roman"/>
          <w:iCs/>
          <w:sz w:val="24"/>
          <w:szCs w:val="24"/>
        </w:rPr>
        <w:t xml:space="preserve"> demonstrates progress in ongoing and preparatory activities, while the </w:t>
      </w:r>
      <w:r>
        <w:rPr>
          <w:rFonts w:ascii="Times New Roman" w:hAnsi="Times New Roman" w:eastAsia="Times New Roman" w:cs="Times New Roman"/>
          <w:bCs/>
          <w:iCs/>
          <w:sz w:val="24"/>
          <w:szCs w:val="24"/>
          <w:lang w:val="zh-CN"/>
        </w:rPr>
        <w:t>10</w:t>
      </w:r>
      <w:r>
        <w:rPr>
          <w:rFonts w:ascii="Times New Roman" w:hAnsi="Times New Roman" w:eastAsia="Times New Roman" w:cs="Times New Roman"/>
          <w:bCs/>
          <w:iCs/>
          <w:sz w:val="24"/>
          <w:szCs w:val="24"/>
        </w:rPr>
        <w:t>.4% DMTDP implementation</w:t>
      </w:r>
      <w:r>
        <w:rPr>
          <w:rFonts w:ascii="Times New Roman" w:hAnsi="Times New Roman" w:eastAsia="Times New Roman" w:cs="Times New Roman"/>
          <w:iCs/>
          <w:sz w:val="24"/>
          <w:szCs w:val="24"/>
        </w:rPr>
        <w:t xml:space="preserve"> reflects the early-stage nature of long-term development programming.</w:t>
      </w:r>
    </w:p>
    <w:p w14:paraId="32ACB0BF">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The absence of abandoned interventions indicates strong institutional discipline and continuity in implementation. However, the relatively high proportion of yet-to-start activities highlights the need for improved early procurement planning, timely release of funds, and strengthened coordination across implementing departments.</w:t>
      </w:r>
    </w:p>
    <w:p w14:paraId="26055A8B">
      <w:pPr>
        <w:spacing w:line="360" w:lineRule="auto"/>
        <w:jc w:val="both"/>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It is anticipated that implementation performance will improve significantly in subsequent quarters as projects move into full execution stages and resource flows become more stable and predictable.</w:t>
      </w:r>
    </w:p>
    <w:p w14:paraId="366F4117">
      <w:pPr>
        <w:pStyle w:val="8"/>
        <w:keepNext/>
        <w:rPr>
          <w:color w:val="auto"/>
        </w:rPr>
      </w:pPr>
      <w:r>
        <w:rPr>
          <w:color w:val="auto"/>
        </w:rPr>
        <w:t xml:space="preserve">    </w:t>
      </w:r>
    </w:p>
    <w:p w14:paraId="6520EAD7">
      <w:pPr>
        <w:rPr>
          <w:rFonts w:ascii="Times New Roman" w:hAnsi="Times New Roman" w:cs="Times New Roman"/>
        </w:rPr>
      </w:pPr>
    </w:p>
    <w:p w14:paraId="57279240">
      <w:pPr>
        <w:rPr>
          <w:rFonts w:ascii="Times New Roman" w:hAnsi="Times New Roman" w:cs="Times New Roman"/>
        </w:rPr>
      </w:pPr>
    </w:p>
    <w:p w14:paraId="5A65CCB0">
      <w:pPr>
        <w:rPr>
          <w:rFonts w:ascii="Times New Roman" w:hAnsi="Times New Roman" w:cs="Times New Roman"/>
        </w:rPr>
      </w:pPr>
    </w:p>
    <w:p w14:paraId="2493F4FD">
      <w:pPr>
        <w:rPr>
          <w:rFonts w:ascii="Times New Roman" w:hAnsi="Times New Roman" w:cs="Times New Roman"/>
        </w:rPr>
      </w:pPr>
    </w:p>
    <w:p w14:paraId="3ADE31FE">
      <w:pPr>
        <w:jc w:val="center"/>
        <w:rPr>
          <w:rFonts w:ascii="Times New Roman" w:hAnsi="Times New Roman" w:cs="Times New Roman"/>
          <w:sz w:val="6"/>
        </w:rPr>
      </w:pPr>
    </w:p>
    <w:p w14:paraId="7930A8B9">
      <w:pPr>
        <w:jc w:val="center"/>
        <w:rPr>
          <w:rFonts w:ascii="Times New Roman" w:hAnsi="Times New Roman" w:cs="Times New Roman"/>
          <w:sz w:val="6"/>
        </w:rPr>
      </w:pPr>
    </w:p>
    <w:p w14:paraId="5AC5BE09">
      <w:pPr>
        <w:jc w:val="center"/>
        <w:rPr>
          <w:rFonts w:ascii="Times New Roman" w:hAnsi="Times New Roman" w:cs="Times New Roman"/>
          <w:sz w:val="6"/>
        </w:rPr>
      </w:pPr>
    </w:p>
    <w:p w14:paraId="6F1850C9">
      <w:pPr>
        <w:jc w:val="center"/>
        <w:rPr>
          <w:rFonts w:ascii="Times New Roman" w:hAnsi="Times New Roman" w:cs="Times New Roman"/>
          <w:sz w:val="6"/>
        </w:rPr>
      </w:pPr>
    </w:p>
    <w:p w14:paraId="12E00FFB">
      <w:pPr>
        <w:jc w:val="center"/>
        <w:rPr>
          <w:rFonts w:ascii="Times New Roman" w:hAnsi="Times New Roman" w:cs="Times New Roman"/>
          <w:sz w:val="6"/>
        </w:rPr>
      </w:pPr>
    </w:p>
    <w:p w14:paraId="38D1C575">
      <w:pPr>
        <w:jc w:val="center"/>
        <w:rPr>
          <w:rFonts w:ascii="Times New Roman" w:hAnsi="Times New Roman" w:cs="Times New Roman"/>
          <w:sz w:val="6"/>
        </w:rPr>
      </w:pPr>
    </w:p>
    <w:p w14:paraId="6290F8F6">
      <w:pPr>
        <w:jc w:val="center"/>
        <w:rPr>
          <w:rFonts w:ascii="Times New Roman" w:hAnsi="Times New Roman" w:cs="Times New Roman"/>
          <w:sz w:val="6"/>
        </w:rPr>
      </w:pPr>
    </w:p>
    <w:p w14:paraId="6EABDEF0">
      <w:pPr>
        <w:jc w:val="center"/>
        <w:rPr>
          <w:rFonts w:ascii="Times New Roman" w:hAnsi="Times New Roman" w:cs="Times New Roman"/>
          <w:sz w:val="6"/>
        </w:rPr>
      </w:pPr>
    </w:p>
    <w:p w14:paraId="52949AC4">
      <w:pPr>
        <w:jc w:val="center"/>
        <w:rPr>
          <w:rFonts w:ascii="Times New Roman" w:hAnsi="Times New Roman" w:cs="Times New Roman"/>
          <w:sz w:val="6"/>
        </w:rPr>
      </w:pPr>
    </w:p>
    <w:p w14:paraId="4DC034F5">
      <w:pPr>
        <w:spacing w:before="240" w:after="240" w:line="360" w:lineRule="auto"/>
        <w:jc w:val="center"/>
        <w:outlineLvl w:val="0"/>
        <w:rPr>
          <w:rFonts w:ascii="Times New Roman" w:hAnsi="Times New Roman" w:eastAsia="Times New Roman" w:cs="Times New Roman"/>
          <w:b/>
          <w:sz w:val="24"/>
          <w:szCs w:val="24"/>
          <w:lang w:val="en-GB"/>
        </w:rPr>
      </w:pPr>
      <w:bookmarkStart w:id="40" w:name="_Toc230260723"/>
      <w:bookmarkStart w:id="41" w:name="_Toc222333860"/>
      <w:r>
        <w:rPr>
          <w:rFonts w:ascii="Times New Roman" w:hAnsi="Times New Roman" w:eastAsia="Times New Roman" w:cs="Times New Roman"/>
          <w:b/>
          <w:sz w:val="24"/>
          <w:szCs w:val="24"/>
          <w:lang w:val="en-GB"/>
        </w:rPr>
        <w:t>CHAPTER TWO</w:t>
      </w:r>
      <w:bookmarkEnd w:id="40"/>
      <w:bookmarkEnd w:id="41"/>
    </w:p>
    <w:p w14:paraId="61BC7E22">
      <w:pPr>
        <w:spacing w:before="240" w:after="240" w:line="360" w:lineRule="auto"/>
        <w:jc w:val="center"/>
        <w:outlineLvl w:val="0"/>
        <w:rPr>
          <w:rFonts w:ascii="Times New Roman" w:hAnsi="Times New Roman" w:eastAsia="Times New Roman" w:cs="Times New Roman"/>
          <w:b/>
          <w:sz w:val="24"/>
          <w:szCs w:val="24"/>
          <w:lang w:val="en-GB"/>
        </w:rPr>
      </w:pPr>
      <w:bookmarkStart w:id="42" w:name="_Toc230260724"/>
      <w:bookmarkStart w:id="43" w:name="_Toc222333861"/>
      <w:r>
        <w:rPr>
          <w:rFonts w:ascii="Times New Roman" w:hAnsi="Times New Roman" w:eastAsia="Times New Roman" w:cs="Times New Roman"/>
          <w:b/>
          <w:sz w:val="24"/>
          <w:szCs w:val="24"/>
          <w:lang w:val="en-GB"/>
        </w:rPr>
        <w:t>MONITORING AND EVALUATION ACTIVITIES REPORT</w:t>
      </w:r>
      <w:bookmarkEnd w:id="42"/>
      <w:bookmarkEnd w:id="43"/>
    </w:p>
    <w:p w14:paraId="173FC41B">
      <w:pPr>
        <w:spacing w:before="240" w:after="240" w:line="360" w:lineRule="auto"/>
        <w:jc w:val="both"/>
        <w:outlineLvl w:val="0"/>
        <w:rPr>
          <w:rFonts w:ascii="Times New Roman" w:hAnsi="Times New Roman" w:eastAsia="Times New Roman" w:cs="Times New Roman"/>
          <w:b/>
          <w:sz w:val="24"/>
          <w:szCs w:val="24"/>
          <w:lang w:val="en-GB"/>
        </w:rPr>
      </w:pPr>
      <w:bookmarkStart w:id="44" w:name="_Toc230260725"/>
      <w:bookmarkStart w:id="45" w:name="_Toc222333862"/>
      <w:r>
        <w:rPr>
          <w:rFonts w:ascii="Times New Roman" w:hAnsi="Times New Roman" w:eastAsia="Times New Roman" w:cs="Times New Roman"/>
          <w:b/>
          <w:sz w:val="24"/>
          <w:szCs w:val="24"/>
          <w:lang w:val="en-GB"/>
        </w:rPr>
        <w:t>2.0 Introduction</w:t>
      </w:r>
      <w:bookmarkEnd w:id="44"/>
      <w:bookmarkEnd w:id="45"/>
    </w:p>
    <w:p w14:paraId="04530CEA">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chapter presents an analysis of Monitoring and Evaluation (M&amp;E) activities undertaken by the Birim North District Assembly during the First Quarter of 2026. It provides an overview of the implementation status of key programmes and projects, highlighting progress made in relation to planned targets, indicators, and expected outputs under the 2026 Annual Action Plan and the 2026–2029 Medium-Term Development Plan (DMTDP).</w:t>
      </w:r>
    </w:p>
    <w:p w14:paraId="01231CF7">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chapter further examines financial and operational performance during the reporting period, including updates on funding inflows, resource utilization, and the extent to which available resources were effectively deployed to support development interventions across sectors.</w:t>
      </w:r>
    </w:p>
    <w:p w14:paraId="3B1AECCC">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addition, it identifies key implementation challenges and emerging development issues affecting service delivery, with particular attention to vulnerable groups and communities. These insights provide an evidence-based understanding of the socio-economic conditions influencing programme outcomes and implementation efficiency within the District.</w:t>
      </w:r>
    </w:p>
    <w:p w14:paraId="12FB2960">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chapter also presents findings from assessment and review exercises conducted during the quarter. These evaluations provide important lessons and inform recommendations aimed at strengthening project delivery, improving coordination, and enhancing the overall effectiveness of development interventions.</w:t>
      </w:r>
    </w:p>
    <w:p w14:paraId="486F0FF5">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Furthermore, Participatory Monitoring and Evaluation (PM&amp;E) activities undertaken during the period are highlighted. Through stakeholder engagement and community participation, PM&amp;E continues to enhance transparency, accountability, and inclusiveness in local governance and development planning.</w:t>
      </w:r>
    </w:p>
    <w:p w14:paraId="67C3F9CD">
      <w:pPr>
        <w:pBdr>
          <w:top w:val="single" w:color="auto" w:sz="6" w:space="1"/>
        </w:pBdr>
        <w:spacing w:after="0" w:line="360" w:lineRule="auto"/>
        <w:jc w:val="both"/>
        <w:rPr>
          <w:rFonts w:ascii="Times New Roman" w:hAnsi="Times New Roman" w:eastAsia="Times New Roman" w:cs="Times New Roman"/>
          <w:vanish/>
          <w:sz w:val="24"/>
          <w:szCs w:val="24"/>
        </w:rPr>
      </w:pPr>
      <w:r>
        <w:rPr>
          <w:rFonts w:ascii="Times New Roman" w:hAnsi="Times New Roman" w:eastAsia="Times New Roman" w:cs="Times New Roman"/>
          <w:vanish/>
          <w:sz w:val="24"/>
          <w:szCs w:val="24"/>
        </w:rPr>
        <w:t>Bottom of Form</w:t>
      </w:r>
    </w:p>
    <w:p w14:paraId="64531878">
      <w:pPr>
        <w:keepNext/>
        <w:keepLines/>
        <w:spacing w:before="240" w:after="240" w:line="360" w:lineRule="auto"/>
        <w:jc w:val="both"/>
        <w:outlineLvl w:val="1"/>
        <w:rPr>
          <w:rFonts w:ascii="Times New Roman" w:hAnsi="Times New Roman" w:eastAsia="Times New Roman" w:cs="Times New Roman"/>
          <w:b/>
          <w:sz w:val="24"/>
          <w:szCs w:val="24"/>
        </w:rPr>
      </w:pPr>
      <w:bookmarkStart w:id="46" w:name="_Toc222333863"/>
      <w:bookmarkStart w:id="47" w:name="_Toc230260726"/>
      <w:r>
        <w:rPr>
          <w:rFonts w:ascii="Times New Roman" w:hAnsi="Times New Roman" w:eastAsia="Times New Roman" w:cs="Times New Roman"/>
          <w:b/>
          <w:sz w:val="24"/>
          <w:szCs w:val="24"/>
        </w:rPr>
        <w:t>2.1 Programmes Register for the First Quarter of 202</w:t>
      </w:r>
      <w:bookmarkEnd w:id="46"/>
      <w:r>
        <w:rPr>
          <w:rFonts w:ascii="Times New Roman" w:hAnsi="Times New Roman" w:eastAsia="Times New Roman" w:cs="Times New Roman"/>
          <w:b/>
          <w:sz w:val="24"/>
          <w:szCs w:val="24"/>
        </w:rPr>
        <w:t>6</w:t>
      </w:r>
      <w:bookmarkEnd w:id="47"/>
    </w:p>
    <w:p w14:paraId="62DE9C1E">
      <w:pPr>
        <w:pStyle w:val="13"/>
        <w:spacing w:line="360" w:lineRule="auto"/>
        <w:jc w:val="both"/>
      </w:pPr>
      <w:r>
        <w:t>This section presents a consolidated summary of activities implemented during the First Quarter of 2026 under the 2026 Annual Action Plan. It provides a structured overview of implementation progress across sectors, highlighting key operational outputs, project status, and areas requiring management attention.</w:t>
      </w:r>
    </w:p>
    <w:p w14:paraId="111813A7">
      <w:pPr>
        <w:pStyle w:val="13"/>
        <w:spacing w:line="360" w:lineRule="auto"/>
        <w:jc w:val="both"/>
      </w:pPr>
      <w:r>
        <w:t>The activity register serves as a key monitoring tool for tracking the execution of development interventions across the District. It enables the assessment of progress against planned targets while also identifying implementation gaps, delays, and emerging operational challenges that require corrective action.</w:t>
      </w:r>
    </w:p>
    <w:p w14:paraId="63B69E98">
      <w:pPr>
        <w:pStyle w:val="13"/>
        <w:spacing w:line="360" w:lineRule="auto"/>
        <w:jc w:val="both"/>
      </w:pPr>
      <w:r>
        <w:t>Beyond tracking implementation, the register also captures lessons learned during execution, thereby supporting evidence-based decision-making and improving future planning processes. These insights contribute to strengthening the alignment of interventions with community priorities and the broader development agenda of the District.</w:t>
      </w:r>
    </w:p>
    <w:p w14:paraId="6FEF1E82">
      <w:pPr>
        <w:pStyle w:val="13"/>
        <w:spacing w:line="360" w:lineRule="auto"/>
        <w:jc w:val="both"/>
      </w:pPr>
      <w:r>
        <w:t>In addition, the analysis promotes continuous improvement in programme and project delivery, reinforcing the District’s commitment to effective service delivery and the achievement of national development priorities, including the Sustainable Development Goals (SDGs).</w:t>
      </w:r>
    </w:p>
    <w:p w14:paraId="437253A4">
      <w:pPr>
        <w:rPr>
          <w:rFonts w:ascii="Times New Roman" w:hAnsi="Times New Roman" w:cs="Times New Roman"/>
        </w:rPr>
        <w:sectPr>
          <w:footerReference r:id="rId6" w:type="default"/>
          <w:pgSz w:w="12240" w:h="15840"/>
          <w:pgMar w:top="720" w:right="720" w:bottom="720" w:left="720" w:header="720" w:footer="720" w:gutter="0"/>
          <w:pgNumType w:start="1"/>
          <w:cols w:space="720" w:num="1"/>
          <w:docGrid w:linePitch="360" w:charSpace="0"/>
        </w:sectPr>
      </w:pPr>
    </w:p>
    <w:p w14:paraId="7204ACC4">
      <w:pPr>
        <w:pStyle w:val="8"/>
        <w:keepNext/>
        <w:rPr>
          <w:b/>
          <w:bCs/>
          <w:color w:val="auto"/>
          <w:sz w:val="20"/>
          <w:szCs w:val="20"/>
        </w:rPr>
      </w:pPr>
      <w:bookmarkStart w:id="48" w:name="_Toc229970429"/>
      <w:r>
        <w:rPr>
          <w:b/>
          <w:bCs/>
          <w:color w:val="auto"/>
          <w:sz w:val="20"/>
          <w:szCs w:val="20"/>
        </w:rPr>
        <w:t xml:space="preserve">Table </w:t>
      </w:r>
      <w:r>
        <w:rPr>
          <w:b/>
          <w:bCs/>
          <w:color w:val="auto"/>
          <w:sz w:val="20"/>
          <w:szCs w:val="20"/>
        </w:rPr>
        <w:fldChar w:fldCharType="begin"/>
      </w:r>
      <w:r>
        <w:rPr>
          <w:b/>
          <w:bCs/>
          <w:color w:val="auto"/>
          <w:sz w:val="20"/>
          <w:szCs w:val="20"/>
        </w:rPr>
        <w:instrText xml:space="preserve"> SEQ Table \* ARABIC </w:instrText>
      </w:r>
      <w:r>
        <w:rPr>
          <w:b/>
          <w:bCs/>
          <w:color w:val="auto"/>
          <w:sz w:val="20"/>
          <w:szCs w:val="20"/>
        </w:rPr>
        <w:fldChar w:fldCharType="separate"/>
      </w:r>
      <w:r>
        <w:rPr>
          <w:b/>
          <w:bCs/>
          <w:color w:val="auto"/>
          <w:sz w:val="20"/>
          <w:szCs w:val="20"/>
        </w:rPr>
        <w:t>3</w:t>
      </w:r>
      <w:r>
        <w:rPr>
          <w:b/>
          <w:bCs/>
          <w:color w:val="auto"/>
          <w:sz w:val="20"/>
          <w:szCs w:val="20"/>
        </w:rPr>
        <w:fldChar w:fldCharType="end"/>
      </w:r>
      <w:r>
        <w:rPr>
          <w:b/>
          <w:bCs/>
          <w:color w:val="auto"/>
          <w:sz w:val="20"/>
          <w:szCs w:val="20"/>
        </w:rPr>
        <w:t>: Update on Programmes Register for First Quarter 2026</w:t>
      </w:r>
      <w:bookmarkEnd w:id="48"/>
    </w:p>
    <w:tbl>
      <w:tblPr>
        <w:tblStyle w:val="6"/>
        <w:tblW w:w="15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2582"/>
        <w:gridCol w:w="1420"/>
        <w:gridCol w:w="1157"/>
        <w:gridCol w:w="1251"/>
        <w:gridCol w:w="992"/>
        <w:gridCol w:w="992"/>
        <w:gridCol w:w="1118"/>
        <w:gridCol w:w="1276"/>
        <w:gridCol w:w="757"/>
        <w:gridCol w:w="1212"/>
        <w:gridCol w:w="1559"/>
        <w:gridCol w:w="990"/>
        <w:gridCol w:w="17"/>
      </w:tblGrid>
      <w:tr w14:paraId="4F95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317" w:hRule="atLeast"/>
          <w:jc w:val="center"/>
        </w:trPr>
        <w:tc>
          <w:tcPr>
            <w:tcW w:w="563" w:type="dxa"/>
            <w:vMerge w:val="restart"/>
            <w:tcBorders>
              <w:top w:val="single" w:color="auto" w:sz="4" w:space="0"/>
              <w:left w:val="single" w:color="auto" w:sz="4" w:space="0"/>
              <w:bottom w:val="single" w:color="auto" w:sz="4" w:space="0"/>
              <w:right w:val="single" w:color="auto" w:sz="4" w:space="0"/>
            </w:tcBorders>
            <w:shd w:val="clear" w:color="auto" w:fill="B4C6E7"/>
          </w:tcPr>
          <w:p w14:paraId="510A063B">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S/N</w:t>
            </w:r>
          </w:p>
        </w:tc>
        <w:tc>
          <w:tcPr>
            <w:tcW w:w="2582" w:type="dxa"/>
            <w:vMerge w:val="restart"/>
            <w:tcBorders>
              <w:top w:val="single" w:color="auto" w:sz="4" w:space="0"/>
              <w:left w:val="single" w:color="auto" w:sz="4" w:space="0"/>
              <w:bottom w:val="single" w:color="auto" w:sz="4" w:space="0"/>
              <w:right w:val="single" w:color="auto" w:sz="4" w:space="0"/>
            </w:tcBorders>
            <w:shd w:val="clear" w:color="auto" w:fill="B4C6E7"/>
          </w:tcPr>
          <w:p w14:paraId="089DD755">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 xml:space="preserve">Programme Description </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B4C6E7"/>
          </w:tcPr>
          <w:p w14:paraId="2A5A9FD0">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 xml:space="preserve">Development dimensions </w:t>
            </w:r>
          </w:p>
        </w:tc>
        <w:tc>
          <w:tcPr>
            <w:tcW w:w="1157" w:type="dxa"/>
            <w:vMerge w:val="restart"/>
            <w:tcBorders>
              <w:top w:val="single" w:color="auto" w:sz="4" w:space="0"/>
              <w:left w:val="single" w:color="auto" w:sz="4" w:space="0"/>
              <w:bottom w:val="single" w:color="auto" w:sz="4" w:space="0"/>
              <w:right w:val="single" w:color="auto" w:sz="4" w:space="0"/>
            </w:tcBorders>
            <w:shd w:val="clear" w:color="auto" w:fill="B4C6E7"/>
          </w:tcPr>
          <w:p w14:paraId="71B1B06C">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Amount involved sum</w:t>
            </w:r>
            <w:r>
              <w:rPr>
                <w:rFonts w:ascii="Times New Roman" w:hAnsi="Times New Roman" w:cs="Times New Roman"/>
                <w:b/>
                <w:sz w:val="20"/>
                <w:szCs w:val="20"/>
                <w:lang w:eastAsia="en-GB"/>
              </w:rPr>
              <w:t xml:space="preserve"> </w:t>
            </w:r>
            <w:r>
              <w:rPr>
                <w:rFonts w:ascii="Times New Roman" w:hAnsi="Times New Roman" w:cs="Times New Roman"/>
                <w:b/>
                <w:sz w:val="20"/>
                <w:szCs w:val="20"/>
                <w:lang w:val="en-GB" w:eastAsia="en-GB"/>
              </w:rPr>
              <w:t>GH₵</w:t>
            </w:r>
          </w:p>
        </w:tc>
        <w:tc>
          <w:tcPr>
            <w:tcW w:w="1251" w:type="dxa"/>
            <w:vMerge w:val="restart"/>
            <w:tcBorders>
              <w:top w:val="single" w:color="auto" w:sz="4" w:space="0"/>
              <w:left w:val="single" w:color="auto" w:sz="4" w:space="0"/>
              <w:bottom w:val="single" w:color="auto" w:sz="4" w:space="0"/>
              <w:right w:val="single" w:color="auto" w:sz="4" w:space="0"/>
            </w:tcBorders>
            <w:shd w:val="clear" w:color="auto" w:fill="B4C6E7"/>
          </w:tcPr>
          <w:p w14:paraId="48CA1279">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Source of funding</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B4C6E7"/>
          </w:tcPr>
          <w:p w14:paraId="0B3393E3">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Date started</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B4C6E7"/>
          </w:tcPr>
          <w:p w14:paraId="54BD1C78">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Expected date of completion</w:t>
            </w:r>
          </w:p>
        </w:tc>
        <w:tc>
          <w:tcPr>
            <w:tcW w:w="1118" w:type="dxa"/>
            <w:vMerge w:val="restart"/>
            <w:tcBorders>
              <w:top w:val="single" w:color="auto" w:sz="4" w:space="0"/>
              <w:left w:val="single" w:color="auto" w:sz="4" w:space="0"/>
              <w:bottom w:val="single" w:color="auto" w:sz="4" w:space="0"/>
              <w:right w:val="single" w:color="auto" w:sz="4" w:space="0"/>
            </w:tcBorders>
            <w:shd w:val="clear" w:color="auto" w:fill="B4C6E7"/>
          </w:tcPr>
          <w:p w14:paraId="75F9F97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
                <w:bCs/>
                <w:sz w:val="20"/>
                <w:szCs w:val="20"/>
              </w:rPr>
              <w:t>Planned expenditure</w:t>
            </w:r>
          </w:p>
          <w:p w14:paraId="11E51EB5">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GH¢</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B4C6E7"/>
          </w:tcPr>
          <w:p w14:paraId="1DD7C79E">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Actual Expenditure</w:t>
            </w:r>
          </w:p>
          <w:p w14:paraId="7A11C546">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sz w:val="20"/>
                <w:szCs w:val="20"/>
              </w:rPr>
              <w:t>GH¢</w:t>
            </w:r>
          </w:p>
        </w:tc>
        <w:tc>
          <w:tcPr>
            <w:tcW w:w="1969" w:type="dxa"/>
            <w:gridSpan w:val="2"/>
            <w:tcBorders>
              <w:top w:val="single" w:color="auto" w:sz="4" w:space="0"/>
              <w:left w:val="single" w:color="auto" w:sz="4" w:space="0"/>
              <w:bottom w:val="single" w:color="auto" w:sz="4" w:space="0"/>
              <w:right w:val="single" w:color="auto" w:sz="4" w:space="0"/>
            </w:tcBorders>
            <w:shd w:val="clear" w:color="auto" w:fill="B4C6E7"/>
          </w:tcPr>
          <w:p w14:paraId="16C9F635">
            <w:pPr>
              <w:spacing w:after="0" w:line="240" w:lineRule="auto"/>
              <w:jc w:val="center"/>
              <w:rPr>
                <w:rFonts w:ascii="Times New Roman" w:hAnsi="Times New Roman" w:cs="Times New Roman"/>
                <w:b/>
                <w:sz w:val="20"/>
                <w:szCs w:val="20"/>
                <w:lang w:eastAsia="en-GB"/>
              </w:rPr>
            </w:pPr>
            <w:r>
              <w:rPr>
                <w:rFonts w:ascii="Times New Roman" w:hAnsi="Times New Roman" w:cs="Times New Roman"/>
                <w:b/>
                <w:sz w:val="20"/>
                <w:szCs w:val="20"/>
                <w:lang w:val="en-GB" w:eastAsia="en-GB"/>
              </w:rPr>
              <w:t>Implementation status</w:t>
            </w:r>
          </w:p>
        </w:tc>
        <w:tc>
          <w:tcPr>
            <w:tcW w:w="1559" w:type="dxa"/>
            <w:tcBorders>
              <w:top w:val="single" w:color="auto" w:sz="4" w:space="0"/>
              <w:left w:val="single" w:color="auto" w:sz="4" w:space="0"/>
              <w:bottom w:val="single" w:color="auto" w:sz="4" w:space="0"/>
              <w:right w:val="single" w:color="auto" w:sz="4" w:space="0"/>
            </w:tcBorders>
            <w:shd w:val="clear" w:color="auto" w:fill="B4C6E7"/>
          </w:tcPr>
          <w:p w14:paraId="5CF718C2">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Level of Completion </w:t>
            </w:r>
          </w:p>
        </w:tc>
        <w:tc>
          <w:tcPr>
            <w:tcW w:w="990" w:type="dxa"/>
            <w:vMerge w:val="restart"/>
            <w:tcBorders>
              <w:top w:val="single" w:color="auto" w:sz="4" w:space="0"/>
              <w:left w:val="single" w:color="auto" w:sz="4" w:space="0"/>
              <w:bottom w:val="single" w:color="auto" w:sz="4" w:space="0"/>
              <w:right w:val="single" w:color="auto" w:sz="4" w:space="0"/>
            </w:tcBorders>
            <w:shd w:val="clear" w:color="auto" w:fill="B4C6E7"/>
          </w:tcPr>
          <w:p w14:paraId="0E7DAB96">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Issues for</w:t>
            </w:r>
          </w:p>
          <w:p w14:paraId="062C5C8F">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leadership’s</w:t>
            </w:r>
          </w:p>
          <w:p w14:paraId="6EE77CD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
                <w:bCs/>
                <w:sz w:val="20"/>
                <w:szCs w:val="20"/>
              </w:rPr>
              <w:t>attention</w:t>
            </w:r>
          </w:p>
          <w:p w14:paraId="41AE1CDA">
            <w:pPr>
              <w:spacing w:after="0" w:line="240" w:lineRule="auto"/>
              <w:jc w:val="center"/>
              <w:rPr>
                <w:rFonts w:ascii="Times New Roman" w:hAnsi="Times New Roman" w:cs="Times New Roman"/>
                <w:b/>
                <w:sz w:val="20"/>
                <w:szCs w:val="20"/>
                <w:lang w:eastAsia="en-GB"/>
              </w:rPr>
            </w:pPr>
          </w:p>
        </w:tc>
      </w:tr>
      <w:tr w14:paraId="3718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98" w:hRule="atLeast"/>
          <w:jc w:val="center"/>
        </w:trPr>
        <w:tc>
          <w:tcPr>
            <w:tcW w:w="563" w:type="dxa"/>
            <w:vMerge w:val="continue"/>
            <w:tcBorders>
              <w:top w:val="single" w:color="auto" w:sz="4" w:space="0"/>
              <w:left w:val="single" w:color="auto" w:sz="4" w:space="0"/>
              <w:bottom w:val="single" w:color="auto" w:sz="4" w:space="0"/>
              <w:right w:val="single" w:color="auto" w:sz="4" w:space="0"/>
            </w:tcBorders>
            <w:vAlign w:val="center"/>
          </w:tcPr>
          <w:p w14:paraId="3B28C9CA">
            <w:pPr>
              <w:spacing w:after="0" w:line="240" w:lineRule="auto"/>
              <w:rPr>
                <w:rFonts w:ascii="Times New Roman" w:hAnsi="Times New Roman" w:cs="Times New Roman"/>
                <w:b/>
                <w:sz w:val="20"/>
                <w:szCs w:val="20"/>
                <w:lang w:val="en-GB" w:eastAsia="en-GB"/>
              </w:rPr>
            </w:pPr>
          </w:p>
        </w:tc>
        <w:tc>
          <w:tcPr>
            <w:tcW w:w="2582" w:type="dxa"/>
            <w:vMerge w:val="continue"/>
            <w:tcBorders>
              <w:top w:val="single" w:color="auto" w:sz="4" w:space="0"/>
              <w:left w:val="single" w:color="auto" w:sz="4" w:space="0"/>
              <w:bottom w:val="single" w:color="auto" w:sz="4" w:space="0"/>
              <w:right w:val="single" w:color="auto" w:sz="4" w:space="0"/>
            </w:tcBorders>
            <w:vAlign w:val="center"/>
          </w:tcPr>
          <w:p w14:paraId="26D21D08">
            <w:pPr>
              <w:spacing w:after="0" w:line="240" w:lineRule="auto"/>
              <w:rPr>
                <w:rFonts w:ascii="Times New Roman" w:hAnsi="Times New Roman" w:cs="Times New Roman"/>
                <w:b/>
                <w:sz w:val="20"/>
                <w:szCs w:val="20"/>
                <w:lang w:val="en-GB" w:eastAsia="en-GB"/>
              </w:rPr>
            </w:pPr>
          </w:p>
        </w:tc>
        <w:tc>
          <w:tcPr>
            <w:tcW w:w="1420" w:type="dxa"/>
            <w:vMerge w:val="continue"/>
            <w:tcBorders>
              <w:top w:val="single" w:color="auto" w:sz="4" w:space="0"/>
              <w:left w:val="single" w:color="auto" w:sz="4" w:space="0"/>
              <w:bottom w:val="single" w:color="auto" w:sz="4" w:space="0"/>
              <w:right w:val="single" w:color="auto" w:sz="4" w:space="0"/>
            </w:tcBorders>
            <w:vAlign w:val="center"/>
          </w:tcPr>
          <w:p w14:paraId="65B07CCB">
            <w:pPr>
              <w:spacing w:after="0" w:line="240" w:lineRule="auto"/>
              <w:rPr>
                <w:rFonts w:ascii="Times New Roman" w:hAnsi="Times New Roman" w:cs="Times New Roman"/>
                <w:b/>
                <w:sz w:val="20"/>
                <w:szCs w:val="20"/>
                <w:lang w:val="en-GB" w:eastAsia="en-GB"/>
              </w:rPr>
            </w:pPr>
          </w:p>
        </w:tc>
        <w:tc>
          <w:tcPr>
            <w:tcW w:w="1157" w:type="dxa"/>
            <w:vMerge w:val="continue"/>
            <w:tcBorders>
              <w:top w:val="single" w:color="auto" w:sz="4" w:space="0"/>
              <w:left w:val="single" w:color="auto" w:sz="4" w:space="0"/>
              <w:bottom w:val="single" w:color="auto" w:sz="4" w:space="0"/>
              <w:right w:val="single" w:color="auto" w:sz="4" w:space="0"/>
            </w:tcBorders>
            <w:vAlign w:val="center"/>
          </w:tcPr>
          <w:p w14:paraId="3EB05D20">
            <w:pPr>
              <w:spacing w:after="0" w:line="240" w:lineRule="auto"/>
              <w:rPr>
                <w:rFonts w:ascii="Times New Roman" w:hAnsi="Times New Roman" w:cs="Times New Roman"/>
                <w:b/>
                <w:sz w:val="20"/>
                <w:szCs w:val="20"/>
                <w:lang w:val="en-GB" w:eastAsia="en-GB"/>
              </w:rPr>
            </w:pPr>
          </w:p>
        </w:tc>
        <w:tc>
          <w:tcPr>
            <w:tcW w:w="1251" w:type="dxa"/>
            <w:vMerge w:val="continue"/>
            <w:tcBorders>
              <w:top w:val="single" w:color="auto" w:sz="4" w:space="0"/>
              <w:left w:val="single" w:color="auto" w:sz="4" w:space="0"/>
              <w:bottom w:val="single" w:color="auto" w:sz="4" w:space="0"/>
              <w:right w:val="single" w:color="auto" w:sz="4" w:space="0"/>
            </w:tcBorders>
            <w:vAlign w:val="center"/>
          </w:tcPr>
          <w:p w14:paraId="0EF16540">
            <w:pPr>
              <w:spacing w:after="0" w:line="240" w:lineRule="auto"/>
              <w:rPr>
                <w:rFonts w:ascii="Times New Roman" w:hAnsi="Times New Roman" w:cs="Times New Roman"/>
                <w:b/>
                <w:sz w:val="20"/>
                <w:szCs w:val="20"/>
                <w:lang w:val="en-GB" w:eastAsia="en-GB"/>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5DC60CCF">
            <w:pPr>
              <w:spacing w:after="0" w:line="240" w:lineRule="auto"/>
              <w:rPr>
                <w:rFonts w:ascii="Times New Roman" w:hAnsi="Times New Roman" w:cs="Times New Roman"/>
                <w:b/>
                <w:sz w:val="20"/>
                <w:szCs w:val="20"/>
                <w:lang w:val="en-GB" w:eastAsia="en-GB"/>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1E642C2">
            <w:pPr>
              <w:spacing w:after="0" w:line="240" w:lineRule="auto"/>
              <w:rPr>
                <w:rFonts w:ascii="Times New Roman" w:hAnsi="Times New Roman" w:cs="Times New Roman"/>
                <w:b/>
                <w:sz w:val="20"/>
                <w:szCs w:val="20"/>
                <w:lang w:val="en-GB" w:eastAsia="en-GB"/>
              </w:rPr>
            </w:pPr>
          </w:p>
        </w:tc>
        <w:tc>
          <w:tcPr>
            <w:tcW w:w="1118" w:type="dxa"/>
            <w:vMerge w:val="continue"/>
            <w:tcBorders>
              <w:top w:val="single" w:color="auto" w:sz="4" w:space="0"/>
              <w:left w:val="single" w:color="auto" w:sz="4" w:space="0"/>
              <w:bottom w:val="single" w:color="auto" w:sz="4" w:space="0"/>
              <w:right w:val="single" w:color="auto" w:sz="4" w:space="0"/>
            </w:tcBorders>
            <w:vAlign w:val="center"/>
          </w:tcPr>
          <w:p w14:paraId="499BD2FC">
            <w:pPr>
              <w:spacing w:after="0" w:line="240" w:lineRule="auto"/>
              <w:rPr>
                <w:rFonts w:ascii="Times New Roman" w:hAnsi="Times New Roman" w:eastAsia="Times New Roman" w:cs="Times New Roman"/>
                <w:b/>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9F9E476">
            <w:pPr>
              <w:spacing w:after="0" w:line="240" w:lineRule="auto"/>
              <w:rPr>
                <w:rFonts w:ascii="Times New Roman" w:hAnsi="Times New Roman" w:eastAsia="Times New Roman" w:cs="Times New Roman"/>
                <w:b/>
                <w:bCs/>
                <w:sz w:val="20"/>
                <w:szCs w:val="20"/>
              </w:rPr>
            </w:pPr>
          </w:p>
        </w:tc>
        <w:tc>
          <w:tcPr>
            <w:tcW w:w="757" w:type="dxa"/>
            <w:vMerge w:val="restart"/>
            <w:tcBorders>
              <w:top w:val="single" w:color="auto" w:sz="4" w:space="0"/>
              <w:left w:val="single" w:color="auto" w:sz="4" w:space="0"/>
              <w:bottom w:val="single" w:color="auto" w:sz="4" w:space="0"/>
              <w:right w:val="single" w:color="auto" w:sz="4" w:space="0"/>
            </w:tcBorders>
            <w:shd w:val="clear" w:color="auto" w:fill="B4C6E7"/>
            <w:vAlign w:val="center"/>
          </w:tcPr>
          <w:p w14:paraId="02BE77AF">
            <w:pPr>
              <w:spacing w:after="0" w:line="240" w:lineRule="auto"/>
              <w:jc w:val="center"/>
              <w:rPr>
                <w:rFonts w:ascii="Times New Roman" w:hAnsi="Times New Roman" w:cs="Times New Roman"/>
                <w:b/>
                <w:sz w:val="20"/>
                <w:szCs w:val="20"/>
                <w:lang w:eastAsia="en-GB"/>
              </w:rPr>
            </w:pPr>
            <w:r>
              <w:rPr>
                <w:rFonts w:ascii="Times New Roman" w:hAnsi="Times New Roman" w:cs="Times New Roman"/>
                <w:b/>
                <w:sz w:val="20"/>
                <w:szCs w:val="20"/>
                <w:lang w:val="en-GB" w:eastAsia="en-GB"/>
              </w:rPr>
              <w:t>(% )</w:t>
            </w:r>
          </w:p>
        </w:tc>
        <w:tc>
          <w:tcPr>
            <w:tcW w:w="1212" w:type="dxa"/>
            <w:vMerge w:val="restart"/>
            <w:tcBorders>
              <w:top w:val="single" w:color="auto" w:sz="4" w:space="0"/>
              <w:left w:val="single" w:color="auto" w:sz="4" w:space="0"/>
              <w:bottom w:val="single" w:color="auto" w:sz="4" w:space="0"/>
              <w:right w:val="single" w:color="auto" w:sz="4" w:space="0"/>
            </w:tcBorders>
            <w:shd w:val="clear" w:color="auto" w:fill="B4C6E7"/>
            <w:vAlign w:val="center"/>
          </w:tcPr>
          <w:p w14:paraId="60022EF1">
            <w:pPr>
              <w:spacing w:after="0" w:line="240" w:lineRule="auto"/>
              <w:jc w:val="center"/>
              <w:rPr>
                <w:rFonts w:ascii="Times New Roman" w:hAnsi="Times New Roman" w:eastAsia="Times New Roman" w:cs="Times New Roman"/>
                <w:b/>
                <w:bCs/>
                <w:sz w:val="20"/>
                <w:szCs w:val="20"/>
              </w:rPr>
            </w:pPr>
            <w:r>
              <w:rPr>
                <w:rFonts w:ascii="Times New Roman" w:hAnsi="Times New Roman" w:cs="Times New Roman"/>
                <w:b/>
                <w:sz w:val="20"/>
                <w:szCs w:val="20"/>
                <w:lang w:eastAsia="en-GB"/>
              </w:rPr>
              <w:t>Picture</w:t>
            </w:r>
          </w:p>
        </w:tc>
        <w:tc>
          <w:tcPr>
            <w:tcW w:w="1559" w:type="dxa"/>
            <w:tcBorders>
              <w:top w:val="single" w:color="auto" w:sz="4" w:space="0"/>
              <w:left w:val="single" w:color="auto" w:sz="4" w:space="0"/>
              <w:bottom w:val="single" w:color="auto" w:sz="4" w:space="0"/>
              <w:right w:val="single" w:color="auto" w:sz="4" w:space="0"/>
            </w:tcBorders>
            <w:shd w:val="clear" w:color="auto" w:fill="00B050"/>
            <w:vAlign w:val="center"/>
          </w:tcPr>
          <w:p w14:paraId="4ECFC080">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Completed</w:t>
            </w:r>
          </w:p>
        </w:tc>
        <w:tc>
          <w:tcPr>
            <w:tcW w:w="990" w:type="dxa"/>
            <w:vMerge w:val="continue"/>
            <w:tcBorders>
              <w:top w:val="single" w:color="auto" w:sz="4" w:space="0"/>
              <w:left w:val="single" w:color="auto" w:sz="4" w:space="0"/>
              <w:bottom w:val="single" w:color="auto" w:sz="4" w:space="0"/>
              <w:right w:val="single" w:color="auto" w:sz="4" w:space="0"/>
            </w:tcBorders>
            <w:vAlign w:val="center"/>
          </w:tcPr>
          <w:p w14:paraId="1318BD07">
            <w:pPr>
              <w:spacing w:after="0" w:line="240" w:lineRule="auto"/>
              <w:rPr>
                <w:rFonts w:ascii="Times New Roman" w:hAnsi="Times New Roman" w:cs="Times New Roman"/>
                <w:b/>
                <w:sz w:val="20"/>
                <w:szCs w:val="20"/>
                <w:lang w:eastAsia="en-GB"/>
              </w:rPr>
            </w:pPr>
          </w:p>
        </w:tc>
      </w:tr>
      <w:tr w14:paraId="53A9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110" w:hRule="atLeast"/>
          <w:jc w:val="center"/>
        </w:trPr>
        <w:tc>
          <w:tcPr>
            <w:tcW w:w="563" w:type="dxa"/>
            <w:vMerge w:val="continue"/>
            <w:tcBorders>
              <w:top w:val="single" w:color="auto" w:sz="4" w:space="0"/>
              <w:left w:val="single" w:color="auto" w:sz="4" w:space="0"/>
              <w:bottom w:val="single" w:color="auto" w:sz="4" w:space="0"/>
              <w:right w:val="single" w:color="auto" w:sz="4" w:space="0"/>
            </w:tcBorders>
            <w:vAlign w:val="center"/>
          </w:tcPr>
          <w:p w14:paraId="40929EB1">
            <w:pPr>
              <w:spacing w:after="0" w:line="240" w:lineRule="auto"/>
              <w:rPr>
                <w:rFonts w:ascii="Times New Roman" w:hAnsi="Times New Roman" w:cs="Times New Roman"/>
                <w:b/>
                <w:sz w:val="20"/>
                <w:szCs w:val="20"/>
                <w:lang w:val="en-GB" w:eastAsia="en-GB"/>
              </w:rPr>
            </w:pPr>
          </w:p>
        </w:tc>
        <w:tc>
          <w:tcPr>
            <w:tcW w:w="2582" w:type="dxa"/>
            <w:vMerge w:val="continue"/>
            <w:tcBorders>
              <w:top w:val="single" w:color="auto" w:sz="4" w:space="0"/>
              <w:left w:val="single" w:color="auto" w:sz="4" w:space="0"/>
              <w:bottom w:val="single" w:color="auto" w:sz="4" w:space="0"/>
              <w:right w:val="single" w:color="auto" w:sz="4" w:space="0"/>
            </w:tcBorders>
            <w:vAlign w:val="center"/>
          </w:tcPr>
          <w:p w14:paraId="53DECEAE">
            <w:pPr>
              <w:spacing w:after="0" w:line="240" w:lineRule="auto"/>
              <w:rPr>
                <w:rFonts w:ascii="Times New Roman" w:hAnsi="Times New Roman" w:cs="Times New Roman"/>
                <w:b/>
                <w:sz w:val="20"/>
                <w:szCs w:val="20"/>
                <w:lang w:val="en-GB" w:eastAsia="en-GB"/>
              </w:rPr>
            </w:pPr>
          </w:p>
        </w:tc>
        <w:tc>
          <w:tcPr>
            <w:tcW w:w="1420" w:type="dxa"/>
            <w:vMerge w:val="continue"/>
            <w:tcBorders>
              <w:top w:val="single" w:color="auto" w:sz="4" w:space="0"/>
              <w:left w:val="single" w:color="auto" w:sz="4" w:space="0"/>
              <w:bottom w:val="single" w:color="auto" w:sz="4" w:space="0"/>
              <w:right w:val="single" w:color="auto" w:sz="4" w:space="0"/>
            </w:tcBorders>
            <w:vAlign w:val="center"/>
          </w:tcPr>
          <w:p w14:paraId="25ABD602">
            <w:pPr>
              <w:spacing w:after="0" w:line="240" w:lineRule="auto"/>
              <w:rPr>
                <w:rFonts w:ascii="Times New Roman" w:hAnsi="Times New Roman" w:cs="Times New Roman"/>
                <w:b/>
                <w:sz w:val="20"/>
                <w:szCs w:val="20"/>
                <w:lang w:val="en-GB" w:eastAsia="en-GB"/>
              </w:rPr>
            </w:pPr>
          </w:p>
        </w:tc>
        <w:tc>
          <w:tcPr>
            <w:tcW w:w="1157" w:type="dxa"/>
            <w:vMerge w:val="continue"/>
            <w:tcBorders>
              <w:top w:val="single" w:color="auto" w:sz="4" w:space="0"/>
              <w:left w:val="single" w:color="auto" w:sz="4" w:space="0"/>
              <w:bottom w:val="single" w:color="auto" w:sz="4" w:space="0"/>
              <w:right w:val="single" w:color="auto" w:sz="4" w:space="0"/>
            </w:tcBorders>
            <w:vAlign w:val="center"/>
          </w:tcPr>
          <w:p w14:paraId="4C3DDAAD">
            <w:pPr>
              <w:spacing w:after="0" w:line="240" w:lineRule="auto"/>
              <w:rPr>
                <w:rFonts w:ascii="Times New Roman" w:hAnsi="Times New Roman" w:cs="Times New Roman"/>
                <w:b/>
                <w:sz w:val="20"/>
                <w:szCs w:val="20"/>
                <w:lang w:val="en-GB" w:eastAsia="en-GB"/>
              </w:rPr>
            </w:pPr>
          </w:p>
        </w:tc>
        <w:tc>
          <w:tcPr>
            <w:tcW w:w="1251" w:type="dxa"/>
            <w:vMerge w:val="continue"/>
            <w:tcBorders>
              <w:top w:val="single" w:color="auto" w:sz="4" w:space="0"/>
              <w:left w:val="single" w:color="auto" w:sz="4" w:space="0"/>
              <w:bottom w:val="single" w:color="auto" w:sz="4" w:space="0"/>
              <w:right w:val="single" w:color="auto" w:sz="4" w:space="0"/>
            </w:tcBorders>
            <w:vAlign w:val="center"/>
          </w:tcPr>
          <w:p w14:paraId="7BFAF16A">
            <w:pPr>
              <w:spacing w:after="0" w:line="240" w:lineRule="auto"/>
              <w:rPr>
                <w:rFonts w:ascii="Times New Roman" w:hAnsi="Times New Roman" w:cs="Times New Roman"/>
                <w:b/>
                <w:sz w:val="20"/>
                <w:szCs w:val="20"/>
                <w:lang w:val="en-GB" w:eastAsia="en-GB"/>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50C7627">
            <w:pPr>
              <w:spacing w:after="0" w:line="240" w:lineRule="auto"/>
              <w:rPr>
                <w:rFonts w:ascii="Times New Roman" w:hAnsi="Times New Roman" w:cs="Times New Roman"/>
                <w:b/>
                <w:sz w:val="20"/>
                <w:szCs w:val="20"/>
                <w:lang w:val="en-GB" w:eastAsia="en-GB"/>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2A1D9FBE">
            <w:pPr>
              <w:spacing w:after="0" w:line="240" w:lineRule="auto"/>
              <w:rPr>
                <w:rFonts w:ascii="Times New Roman" w:hAnsi="Times New Roman" w:cs="Times New Roman"/>
                <w:b/>
                <w:sz w:val="20"/>
                <w:szCs w:val="20"/>
                <w:lang w:val="en-GB" w:eastAsia="en-GB"/>
              </w:rPr>
            </w:pPr>
          </w:p>
        </w:tc>
        <w:tc>
          <w:tcPr>
            <w:tcW w:w="1118" w:type="dxa"/>
            <w:vMerge w:val="continue"/>
            <w:tcBorders>
              <w:top w:val="single" w:color="auto" w:sz="4" w:space="0"/>
              <w:left w:val="single" w:color="auto" w:sz="4" w:space="0"/>
              <w:bottom w:val="single" w:color="auto" w:sz="4" w:space="0"/>
              <w:right w:val="single" w:color="auto" w:sz="4" w:space="0"/>
            </w:tcBorders>
            <w:vAlign w:val="center"/>
          </w:tcPr>
          <w:p w14:paraId="4D86133D">
            <w:pPr>
              <w:spacing w:after="0" w:line="240" w:lineRule="auto"/>
              <w:rPr>
                <w:rFonts w:ascii="Times New Roman" w:hAnsi="Times New Roman" w:eastAsia="Times New Roman" w:cs="Times New Roman"/>
                <w:b/>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B9CF57C">
            <w:pPr>
              <w:spacing w:after="0" w:line="240" w:lineRule="auto"/>
              <w:rPr>
                <w:rFonts w:ascii="Times New Roman" w:hAnsi="Times New Roman" w:eastAsia="Times New Roman" w:cs="Times New Roman"/>
                <w:b/>
                <w:bCs/>
                <w:sz w:val="20"/>
                <w:szCs w:val="20"/>
              </w:rPr>
            </w:pPr>
          </w:p>
        </w:tc>
        <w:tc>
          <w:tcPr>
            <w:tcW w:w="757" w:type="dxa"/>
            <w:vMerge w:val="continue"/>
            <w:tcBorders>
              <w:top w:val="single" w:color="auto" w:sz="4" w:space="0"/>
              <w:left w:val="single" w:color="auto" w:sz="4" w:space="0"/>
              <w:bottom w:val="single" w:color="auto" w:sz="4" w:space="0"/>
              <w:right w:val="single" w:color="auto" w:sz="4" w:space="0"/>
            </w:tcBorders>
            <w:vAlign w:val="center"/>
          </w:tcPr>
          <w:p w14:paraId="3F826638">
            <w:pPr>
              <w:spacing w:after="0" w:line="240" w:lineRule="auto"/>
              <w:rPr>
                <w:rFonts w:ascii="Times New Roman" w:hAnsi="Times New Roman" w:cs="Times New Roman"/>
                <w:b/>
                <w:sz w:val="20"/>
                <w:szCs w:val="20"/>
                <w:lang w:eastAsia="en-GB"/>
              </w:rPr>
            </w:pPr>
          </w:p>
        </w:tc>
        <w:tc>
          <w:tcPr>
            <w:tcW w:w="1212" w:type="dxa"/>
            <w:vMerge w:val="continue"/>
            <w:tcBorders>
              <w:top w:val="single" w:color="auto" w:sz="4" w:space="0"/>
              <w:left w:val="single" w:color="auto" w:sz="4" w:space="0"/>
              <w:bottom w:val="single" w:color="auto" w:sz="4" w:space="0"/>
              <w:right w:val="single" w:color="auto" w:sz="4" w:space="0"/>
            </w:tcBorders>
            <w:vAlign w:val="center"/>
          </w:tcPr>
          <w:p w14:paraId="089859D3">
            <w:pPr>
              <w:spacing w:after="0" w:line="240" w:lineRule="auto"/>
              <w:rPr>
                <w:rFonts w:ascii="Times New Roman" w:hAnsi="Times New Roman" w:eastAsia="Times New Roman" w:cs="Times New Roman"/>
                <w:b/>
                <w:bCs/>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7BAA135">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Ongoing</w:t>
            </w:r>
          </w:p>
        </w:tc>
        <w:tc>
          <w:tcPr>
            <w:tcW w:w="990" w:type="dxa"/>
            <w:vMerge w:val="continue"/>
            <w:tcBorders>
              <w:top w:val="single" w:color="auto" w:sz="4" w:space="0"/>
              <w:left w:val="single" w:color="auto" w:sz="4" w:space="0"/>
              <w:bottom w:val="single" w:color="auto" w:sz="4" w:space="0"/>
              <w:right w:val="single" w:color="auto" w:sz="4" w:space="0"/>
            </w:tcBorders>
            <w:vAlign w:val="center"/>
          </w:tcPr>
          <w:p w14:paraId="2DC758E1">
            <w:pPr>
              <w:spacing w:after="0" w:line="240" w:lineRule="auto"/>
              <w:rPr>
                <w:rFonts w:ascii="Times New Roman" w:hAnsi="Times New Roman" w:cs="Times New Roman"/>
                <w:b/>
                <w:sz w:val="20"/>
                <w:szCs w:val="20"/>
                <w:lang w:eastAsia="en-GB"/>
              </w:rPr>
            </w:pPr>
          </w:p>
        </w:tc>
      </w:tr>
      <w:tr w14:paraId="1547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189" w:hRule="atLeast"/>
          <w:jc w:val="center"/>
        </w:trPr>
        <w:tc>
          <w:tcPr>
            <w:tcW w:w="563" w:type="dxa"/>
            <w:vMerge w:val="continue"/>
            <w:tcBorders>
              <w:top w:val="single" w:color="auto" w:sz="4" w:space="0"/>
              <w:left w:val="single" w:color="auto" w:sz="4" w:space="0"/>
              <w:bottom w:val="single" w:color="auto" w:sz="4" w:space="0"/>
              <w:right w:val="single" w:color="auto" w:sz="4" w:space="0"/>
            </w:tcBorders>
            <w:vAlign w:val="center"/>
          </w:tcPr>
          <w:p w14:paraId="270A873A">
            <w:pPr>
              <w:spacing w:after="0" w:line="240" w:lineRule="auto"/>
              <w:rPr>
                <w:rFonts w:ascii="Times New Roman" w:hAnsi="Times New Roman" w:cs="Times New Roman"/>
                <w:b/>
                <w:sz w:val="20"/>
                <w:szCs w:val="20"/>
                <w:lang w:val="en-GB" w:eastAsia="en-GB"/>
              </w:rPr>
            </w:pPr>
          </w:p>
        </w:tc>
        <w:tc>
          <w:tcPr>
            <w:tcW w:w="2582" w:type="dxa"/>
            <w:vMerge w:val="continue"/>
            <w:tcBorders>
              <w:top w:val="single" w:color="auto" w:sz="4" w:space="0"/>
              <w:left w:val="single" w:color="auto" w:sz="4" w:space="0"/>
              <w:bottom w:val="single" w:color="auto" w:sz="4" w:space="0"/>
              <w:right w:val="single" w:color="auto" w:sz="4" w:space="0"/>
            </w:tcBorders>
            <w:vAlign w:val="center"/>
          </w:tcPr>
          <w:p w14:paraId="59F2917D">
            <w:pPr>
              <w:spacing w:after="0" w:line="240" w:lineRule="auto"/>
              <w:rPr>
                <w:rFonts w:ascii="Times New Roman" w:hAnsi="Times New Roman" w:cs="Times New Roman"/>
                <w:b/>
                <w:sz w:val="20"/>
                <w:szCs w:val="20"/>
                <w:lang w:val="en-GB" w:eastAsia="en-GB"/>
              </w:rPr>
            </w:pPr>
          </w:p>
        </w:tc>
        <w:tc>
          <w:tcPr>
            <w:tcW w:w="1420" w:type="dxa"/>
            <w:vMerge w:val="continue"/>
            <w:tcBorders>
              <w:top w:val="single" w:color="auto" w:sz="4" w:space="0"/>
              <w:left w:val="single" w:color="auto" w:sz="4" w:space="0"/>
              <w:bottom w:val="single" w:color="auto" w:sz="4" w:space="0"/>
              <w:right w:val="single" w:color="auto" w:sz="4" w:space="0"/>
            </w:tcBorders>
            <w:vAlign w:val="center"/>
          </w:tcPr>
          <w:p w14:paraId="49C444F2">
            <w:pPr>
              <w:spacing w:after="0" w:line="240" w:lineRule="auto"/>
              <w:rPr>
                <w:rFonts w:ascii="Times New Roman" w:hAnsi="Times New Roman" w:cs="Times New Roman"/>
                <w:b/>
                <w:sz w:val="20"/>
                <w:szCs w:val="20"/>
                <w:lang w:val="en-GB" w:eastAsia="en-GB"/>
              </w:rPr>
            </w:pPr>
          </w:p>
        </w:tc>
        <w:tc>
          <w:tcPr>
            <w:tcW w:w="1157" w:type="dxa"/>
            <w:vMerge w:val="continue"/>
            <w:tcBorders>
              <w:top w:val="single" w:color="auto" w:sz="4" w:space="0"/>
              <w:left w:val="single" w:color="auto" w:sz="4" w:space="0"/>
              <w:bottom w:val="single" w:color="auto" w:sz="4" w:space="0"/>
              <w:right w:val="single" w:color="auto" w:sz="4" w:space="0"/>
            </w:tcBorders>
            <w:vAlign w:val="center"/>
          </w:tcPr>
          <w:p w14:paraId="0995DE45">
            <w:pPr>
              <w:spacing w:after="0" w:line="240" w:lineRule="auto"/>
              <w:rPr>
                <w:rFonts w:ascii="Times New Roman" w:hAnsi="Times New Roman" w:cs="Times New Roman"/>
                <w:b/>
                <w:sz w:val="20"/>
                <w:szCs w:val="20"/>
                <w:lang w:val="en-GB" w:eastAsia="en-GB"/>
              </w:rPr>
            </w:pPr>
          </w:p>
        </w:tc>
        <w:tc>
          <w:tcPr>
            <w:tcW w:w="1251" w:type="dxa"/>
            <w:vMerge w:val="continue"/>
            <w:tcBorders>
              <w:top w:val="single" w:color="auto" w:sz="4" w:space="0"/>
              <w:left w:val="single" w:color="auto" w:sz="4" w:space="0"/>
              <w:bottom w:val="single" w:color="auto" w:sz="4" w:space="0"/>
              <w:right w:val="single" w:color="auto" w:sz="4" w:space="0"/>
            </w:tcBorders>
            <w:vAlign w:val="center"/>
          </w:tcPr>
          <w:p w14:paraId="557CB530">
            <w:pPr>
              <w:spacing w:after="0" w:line="240" w:lineRule="auto"/>
              <w:rPr>
                <w:rFonts w:ascii="Times New Roman" w:hAnsi="Times New Roman" w:cs="Times New Roman"/>
                <w:b/>
                <w:sz w:val="20"/>
                <w:szCs w:val="20"/>
                <w:lang w:val="en-GB" w:eastAsia="en-GB"/>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2C3FCE27">
            <w:pPr>
              <w:spacing w:after="0" w:line="240" w:lineRule="auto"/>
              <w:rPr>
                <w:rFonts w:ascii="Times New Roman" w:hAnsi="Times New Roman" w:cs="Times New Roman"/>
                <w:b/>
                <w:sz w:val="20"/>
                <w:szCs w:val="20"/>
                <w:lang w:val="en-GB" w:eastAsia="en-GB"/>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26D46E3C">
            <w:pPr>
              <w:spacing w:after="0" w:line="240" w:lineRule="auto"/>
              <w:rPr>
                <w:rFonts w:ascii="Times New Roman" w:hAnsi="Times New Roman" w:cs="Times New Roman"/>
                <w:b/>
                <w:sz w:val="20"/>
                <w:szCs w:val="20"/>
                <w:lang w:val="en-GB" w:eastAsia="en-GB"/>
              </w:rPr>
            </w:pPr>
          </w:p>
        </w:tc>
        <w:tc>
          <w:tcPr>
            <w:tcW w:w="1118" w:type="dxa"/>
            <w:vMerge w:val="continue"/>
            <w:tcBorders>
              <w:top w:val="single" w:color="auto" w:sz="4" w:space="0"/>
              <w:left w:val="single" w:color="auto" w:sz="4" w:space="0"/>
              <w:bottom w:val="single" w:color="auto" w:sz="4" w:space="0"/>
              <w:right w:val="single" w:color="auto" w:sz="4" w:space="0"/>
            </w:tcBorders>
            <w:vAlign w:val="center"/>
          </w:tcPr>
          <w:p w14:paraId="3E95B2E3">
            <w:pPr>
              <w:spacing w:after="0" w:line="240" w:lineRule="auto"/>
              <w:rPr>
                <w:rFonts w:ascii="Times New Roman" w:hAnsi="Times New Roman" w:eastAsia="Times New Roman" w:cs="Times New Roman"/>
                <w:b/>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FFC860F">
            <w:pPr>
              <w:spacing w:after="0" w:line="240" w:lineRule="auto"/>
              <w:rPr>
                <w:rFonts w:ascii="Times New Roman" w:hAnsi="Times New Roman" w:eastAsia="Times New Roman" w:cs="Times New Roman"/>
                <w:b/>
                <w:bCs/>
                <w:sz w:val="20"/>
                <w:szCs w:val="20"/>
              </w:rPr>
            </w:pPr>
          </w:p>
        </w:tc>
        <w:tc>
          <w:tcPr>
            <w:tcW w:w="757" w:type="dxa"/>
            <w:vMerge w:val="continue"/>
            <w:tcBorders>
              <w:top w:val="single" w:color="auto" w:sz="4" w:space="0"/>
              <w:left w:val="single" w:color="auto" w:sz="4" w:space="0"/>
              <w:bottom w:val="single" w:color="auto" w:sz="4" w:space="0"/>
              <w:right w:val="single" w:color="auto" w:sz="4" w:space="0"/>
            </w:tcBorders>
            <w:vAlign w:val="center"/>
          </w:tcPr>
          <w:p w14:paraId="65AFADE3">
            <w:pPr>
              <w:spacing w:after="0" w:line="240" w:lineRule="auto"/>
              <w:rPr>
                <w:rFonts w:ascii="Times New Roman" w:hAnsi="Times New Roman" w:cs="Times New Roman"/>
                <w:b/>
                <w:sz w:val="20"/>
                <w:szCs w:val="20"/>
                <w:lang w:eastAsia="en-GB"/>
              </w:rPr>
            </w:pPr>
          </w:p>
        </w:tc>
        <w:tc>
          <w:tcPr>
            <w:tcW w:w="1212" w:type="dxa"/>
            <w:vMerge w:val="continue"/>
            <w:tcBorders>
              <w:top w:val="single" w:color="auto" w:sz="4" w:space="0"/>
              <w:left w:val="single" w:color="auto" w:sz="4" w:space="0"/>
              <w:bottom w:val="single" w:color="auto" w:sz="4" w:space="0"/>
              <w:right w:val="single" w:color="auto" w:sz="4" w:space="0"/>
            </w:tcBorders>
            <w:vAlign w:val="center"/>
          </w:tcPr>
          <w:p w14:paraId="1FAEBF66">
            <w:pPr>
              <w:spacing w:after="0" w:line="240" w:lineRule="auto"/>
              <w:rPr>
                <w:rFonts w:ascii="Times New Roman" w:hAnsi="Times New Roman" w:eastAsia="Times New Roman" w:cs="Times New Roman"/>
                <w:b/>
                <w:bCs/>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DF16F0B">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Yet to start</w:t>
            </w:r>
          </w:p>
        </w:tc>
        <w:tc>
          <w:tcPr>
            <w:tcW w:w="990" w:type="dxa"/>
            <w:vMerge w:val="continue"/>
            <w:tcBorders>
              <w:top w:val="single" w:color="auto" w:sz="4" w:space="0"/>
              <w:left w:val="single" w:color="auto" w:sz="4" w:space="0"/>
              <w:bottom w:val="single" w:color="auto" w:sz="4" w:space="0"/>
              <w:right w:val="single" w:color="auto" w:sz="4" w:space="0"/>
            </w:tcBorders>
            <w:vAlign w:val="center"/>
          </w:tcPr>
          <w:p w14:paraId="023DBB50">
            <w:pPr>
              <w:spacing w:after="0" w:line="240" w:lineRule="auto"/>
              <w:rPr>
                <w:rFonts w:ascii="Times New Roman" w:hAnsi="Times New Roman" w:cs="Times New Roman"/>
                <w:b/>
                <w:sz w:val="20"/>
                <w:szCs w:val="20"/>
                <w:lang w:eastAsia="en-GB"/>
              </w:rPr>
            </w:pPr>
          </w:p>
        </w:tc>
      </w:tr>
      <w:tr w14:paraId="70E1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FF2CC"/>
            <w:vAlign w:val="center"/>
          </w:tcPr>
          <w:p w14:paraId="7653333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GB" w:eastAsia="en-GB"/>
              </w:rPr>
              <w:t xml:space="preserve">FINANCE </w:t>
            </w:r>
          </w:p>
        </w:tc>
      </w:tr>
      <w:tr w14:paraId="1F84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C8BD7E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BE718E0">
            <w:pPr>
              <w:spacing w:line="240" w:lineRule="auto"/>
              <w:rPr>
                <w:rFonts w:ascii="Times New Roman" w:hAnsi="Times New Roman" w:cs="Times New Roman"/>
                <w:sz w:val="20"/>
                <w:szCs w:val="20"/>
              </w:rPr>
            </w:pPr>
            <w:r>
              <w:rPr>
                <w:rFonts w:ascii="Times New Roman" w:hAnsi="Times New Roman" w:cs="Times New Roman"/>
                <w:sz w:val="20"/>
                <w:szCs w:val="20"/>
              </w:rPr>
              <w:t>Develop and implement the bill printing plan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BB246A8">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214D697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31D47458">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E80139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27C1D2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E7691A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26,000.00</w:t>
            </w:r>
          </w:p>
        </w:tc>
        <w:tc>
          <w:tcPr>
            <w:tcW w:w="1276" w:type="dxa"/>
            <w:tcBorders>
              <w:top w:val="single" w:color="auto" w:sz="4" w:space="0"/>
              <w:left w:val="single" w:color="auto" w:sz="4" w:space="0"/>
              <w:bottom w:val="single" w:color="auto" w:sz="4" w:space="0"/>
              <w:right w:val="single" w:color="auto" w:sz="4" w:space="0"/>
            </w:tcBorders>
            <w:vAlign w:val="center"/>
          </w:tcPr>
          <w:p w14:paraId="25BF31AD">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w:t>
            </w:r>
          </w:p>
        </w:tc>
        <w:tc>
          <w:tcPr>
            <w:tcW w:w="757" w:type="dxa"/>
            <w:tcBorders>
              <w:top w:val="single" w:color="auto" w:sz="4" w:space="0"/>
              <w:left w:val="single" w:color="auto" w:sz="4" w:space="0"/>
              <w:bottom w:val="single" w:color="auto" w:sz="4" w:space="0"/>
              <w:right w:val="single" w:color="auto" w:sz="4" w:space="0"/>
            </w:tcBorders>
            <w:vAlign w:val="center"/>
          </w:tcPr>
          <w:p w14:paraId="32E18AB2">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20%</w:t>
            </w:r>
          </w:p>
        </w:tc>
        <w:tc>
          <w:tcPr>
            <w:tcW w:w="1212" w:type="dxa"/>
            <w:tcBorders>
              <w:top w:val="single" w:color="auto" w:sz="4" w:space="0"/>
              <w:left w:val="single" w:color="auto" w:sz="4" w:space="0"/>
              <w:bottom w:val="single" w:color="auto" w:sz="4" w:space="0"/>
              <w:right w:val="single" w:color="auto" w:sz="4" w:space="0"/>
            </w:tcBorders>
            <w:vAlign w:val="center"/>
          </w:tcPr>
          <w:p w14:paraId="1192A822">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248CF2F">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E4105B4">
            <w:pPr>
              <w:spacing w:after="0" w:line="240" w:lineRule="auto"/>
              <w:jc w:val="both"/>
              <w:rPr>
                <w:rFonts w:ascii="Times New Roman" w:hAnsi="Times New Roman" w:cs="Times New Roman"/>
                <w:sz w:val="20"/>
                <w:szCs w:val="20"/>
                <w:lang w:val="en-GB" w:eastAsia="en-GB"/>
              </w:rPr>
            </w:pPr>
          </w:p>
        </w:tc>
      </w:tr>
      <w:tr w14:paraId="38BF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257923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49241C5">
            <w:pPr>
              <w:spacing w:line="240" w:lineRule="auto"/>
              <w:rPr>
                <w:rFonts w:ascii="Times New Roman" w:hAnsi="Times New Roman" w:cs="Times New Roman"/>
                <w:sz w:val="20"/>
                <w:szCs w:val="20"/>
              </w:rPr>
            </w:pPr>
            <w:r>
              <w:rPr>
                <w:rFonts w:ascii="Times New Roman" w:hAnsi="Times New Roman" w:cs="Times New Roman"/>
                <w:sz w:val="20"/>
                <w:szCs w:val="20"/>
              </w:rPr>
              <w:t>Organize Public sensitization on e-billing and payments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9F1F5F6">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0275BE9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7A1CEFEE">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32D783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268F4F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F89DF8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17,000.00</w:t>
            </w:r>
          </w:p>
        </w:tc>
        <w:tc>
          <w:tcPr>
            <w:tcW w:w="1276" w:type="dxa"/>
            <w:tcBorders>
              <w:top w:val="single" w:color="auto" w:sz="4" w:space="0"/>
              <w:left w:val="single" w:color="auto" w:sz="4" w:space="0"/>
              <w:bottom w:val="single" w:color="auto" w:sz="4" w:space="0"/>
              <w:right w:val="single" w:color="auto" w:sz="4" w:space="0"/>
            </w:tcBorders>
            <w:vAlign w:val="center"/>
          </w:tcPr>
          <w:p w14:paraId="77500771">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4,500.00</w:t>
            </w:r>
          </w:p>
        </w:tc>
        <w:tc>
          <w:tcPr>
            <w:tcW w:w="757" w:type="dxa"/>
            <w:tcBorders>
              <w:top w:val="single" w:color="auto" w:sz="4" w:space="0"/>
              <w:left w:val="single" w:color="auto" w:sz="4" w:space="0"/>
              <w:bottom w:val="single" w:color="auto" w:sz="4" w:space="0"/>
              <w:right w:val="single" w:color="auto" w:sz="4" w:space="0"/>
            </w:tcBorders>
            <w:vAlign w:val="center"/>
          </w:tcPr>
          <w:p w14:paraId="543A6100">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27%</w:t>
            </w:r>
          </w:p>
        </w:tc>
        <w:tc>
          <w:tcPr>
            <w:tcW w:w="1212" w:type="dxa"/>
            <w:tcBorders>
              <w:top w:val="single" w:color="auto" w:sz="4" w:space="0"/>
              <w:left w:val="single" w:color="auto" w:sz="4" w:space="0"/>
              <w:bottom w:val="single" w:color="auto" w:sz="4" w:space="0"/>
              <w:right w:val="single" w:color="auto" w:sz="4" w:space="0"/>
            </w:tcBorders>
            <w:vAlign w:val="center"/>
          </w:tcPr>
          <w:p w14:paraId="5EA82D04">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4D3E17E">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F7EA651">
            <w:pPr>
              <w:spacing w:after="0" w:line="240" w:lineRule="auto"/>
              <w:jc w:val="both"/>
              <w:rPr>
                <w:rFonts w:ascii="Times New Roman" w:hAnsi="Times New Roman" w:cs="Times New Roman"/>
                <w:sz w:val="20"/>
                <w:szCs w:val="20"/>
                <w:lang w:val="en-GB" w:eastAsia="en-GB"/>
              </w:rPr>
            </w:pPr>
          </w:p>
        </w:tc>
      </w:tr>
      <w:tr w14:paraId="599B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11B5A6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167A41E">
            <w:pPr>
              <w:spacing w:line="240" w:lineRule="auto"/>
              <w:rPr>
                <w:rFonts w:ascii="Times New Roman" w:hAnsi="Times New Roman" w:cs="Times New Roman"/>
                <w:sz w:val="20"/>
                <w:szCs w:val="20"/>
              </w:rPr>
            </w:pPr>
            <w:r>
              <w:rPr>
                <w:rFonts w:ascii="Times New Roman" w:hAnsi="Times New Roman" w:cs="Times New Roman"/>
                <w:sz w:val="20"/>
                <w:szCs w:val="20"/>
              </w:rPr>
              <w:t>Upgrading internet facility to improve GIFMIS operations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00FDB0D">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2B537ED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3D365839">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8E3532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3FAE8B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BBDDE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40,000.00</w:t>
            </w:r>
          </w:p>
        </w:tc>
        <w:tc>
          <w:tcPr>
            <w:tcW w:w="1276" w:type="dxa"/>
            <w:tcBorders>
              <w:top w:val="single" w:color="auto" w:sz="4" w:space="0"/>
              <w:left w:val="single" w:color="auto" w:sz="4" w:space="0"/>
              <w:bottom w:val="single" w:color="auto" w:sz="4" w:space="0"/>
              <w:right w:val="single" w:color="auto" w:sz="4" w:space="0"/>
            </w:tcBorders>
            <w:vAlign w:val="center"/>
          </w:tcPr>
          <w:p w14:paraId="3E0C40FD">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2,500.00</w:t>
            </w:r>
          </w:p>
        </w:tc>
        <w:tc>
          <w:tcPr>
            <w:tcW w:w="757" w:type="dxa"/>
            <w:tcBorders>
              <w:top w:val="single" w:color="auto" w:sz="4" w:space="0"/>
              <w:left w:val="single" w:color="auto" w:sz="4" w:space="0"/>
              <w:bottom w:val="single" w:color="auto" w:sz="4" w:space="0"/>
              <w:right w:val="single" w:color="auto" w:sz="4" w:space="0"/>
            </w:tcBorders>
            <w:vAlign w:val="center"/>
          </w:tcPr>
          <w:p w14:paraId="772607F1">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7%</w:t>
            </w:r>
          </w:p>
        </w:tc>
        <w:tc>
          <w:tcPr>
            <w:tcW w:w="1212" w:type="dxa"/>
            <w:tcBorders>
              <w:top w:val="single" w:color="auto" w:sz="4" w:space="0"/>
              <w:left w:val="single" w:color="auto" w:sz="4" w:space="0"/>
              <w:bottom w:val="single" w:color="auto" w:sz="4" w:space="0"/>
              <w:right w:val="single" w:color="auto" w:sz="4" w:space="0"/>
            </w:tcBorders>
            <w:vAlign w:val="center"/>
          </w:tcPr>
          <w:p w14:paraId="090BA72F">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1F1968A7">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2CD09973">
            <w:pPr>
              <w:spacing w:after="0" w:line="240" w:lineRule="auto"/>
              <w:jc w:val="both"/>
              <w:rPr>
                <w:rFonts w:ascii="Times New Roman" w:hAnsi="Times New Roman" w:cs="Times New Roman"/>
                <w:sz w:val="20"/>
                <w:szCs w:val="20"/>
                <w:lang w:val="en-GB" w:eastAsia="en-GB"/>
              </w:rPr>
            </w:pPr>
          </w:p>
        </w:tc>
      </w:tr>
      <w:tr w14:paraId="2BAF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FC5B0E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E211D63">
            <w:pPr>
              <w:spacing w:line="240" w:lineRule="auto"/>
              <w:rPr>
                <w:rFonts w:ascii="Times New Roman" w:hAnsi="Times New Roman" w:cs="Times New Roman"/>
                <w:sz w:val="20"/>
                <w:szCs w:val="20"/>
              </w:rPr>
            </w:pPr>
            <w:r>
              <w:rPr>
                <w:rFonts w:ascii="Times New Roman" w:hAnsi="Times New Roman" w:cs="Times New Roman"/>
                <w:sz w:val="20"/>
                <w:szCs w:val="20"/>
              </w:rPr>
              <w:t>Organise pay-your-levy campaigns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77115A9">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4858E529">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155C3DF9">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EC2386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BFA6AB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0DC90C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08ABC34C">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1,000.00</w:t>
            </w:r>
          </w:p>
        </w:tc>
        <w:tc>
          <w:tcPr>
            <w:tcW w:w="757" w:type="dxa"/>
            <w:tcBorders>
              <w:top w:val="single" w:color="auto" w:sz="4" w:space="0"/>
              <w:left w:val="single" w:color="auto" w:sz="4" w:space="0"/>
              <w:bottom w:val="single" w:color="auto" w:sz="4" w:space="0"/>
              <w:right w:val="single" w:color="auto" w:sz="4" w:space="0"/>
            </w:tcBorders>
            <w:vAlign w:val="center"/>
          </w:tcPr>
          <w:p w14:paraId="406FDE47">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w:t>
            </w:r>
          </w:p>
        </w:tc>
        <w:tc>
          <w:tcPr>
            <w:tcW w:w="1212" w:type="dxa"/>
            <w:tcBorders>
              <w:top w:val="single" w:color="auto" w:sz="4" w:space="0"/>
              <w:left w:val="single" w:color="auto" w:sz="4" w:space="0"/>
              <w:bottom w:val="single" w:color="auto" w:sz="4" w:space="0"/>
              <w:right w:val="single" w:color="auto" w:sz="4" w:space="0"/>
            </w:tcBorders>
            <w:vAlign w:val="center"/>
          </w:tcPr>
          <w:p w14:paraId="1EAF0EF4">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00B050"/>
            <w:vAlign w:val="center"/>
          </w:tcPr>
          <w:p w14:paraId="3CDD7338">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1699F740">
            <w:pPr>
              <w:spacing w:after="0" w:line="240" w:lineRule="auto"/>
              <w:jc w:val="both"/>
              <w:rPr>
                <w:rFonts w:ascii="Times New Roman" w:hAnsi="Times New Roman" w:cs="Times New Roman"/>
                <w:sz w:val="20"/>
                <w:szCs w:val="20"/>
                <w:lang w:val="en-GB" w:eastAsia="en-GB"/>
              </w:rPr>
            </w:pPr>
          </w:p>
        </w:tc>
      </w:tr>
      <w:tr w14:paraId="2F86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747E621C">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AGRICULTURE</w:t>
            </w:r>
          </w:p>
        </w:tc>
      </w:tr>
      <w:tr w14:paraId="30A1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0ABF89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06C68A9">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Organise 1no. District Farmers’ Day celebration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9F7F0E4">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7E117F8">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71616752">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0C5BA0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C7DDD6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3A4A4B9">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5E500613">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F0601E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64851167">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FF9859E">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0287D924">
            <w:pPr>
              <w:spacing w:after="0" w:line="240" w:lineRule="auto"/>
              <w:jc w:val="center"/>
              <w:rPr>
                <w:rFonts w:ascii="Times New Roman" w:hAnsi="Times New Roman" w:cs="Times New Roman"/>
                <w:sz w:val="20"/>
                <w:szCs w:val="20"/>
                <w:lang w:val="en-GB" w:eastAsia="en-GB"/>
              </w:rPr>
            </w:pPr>
          </w:p>
        </w:tc>
      </w:tr>
      <w:tr w14:paraId="62D1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EF2547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19EF63A">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Promote Alternative livelihood for employment and income generation for women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A58F43A">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119E10CB">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9,000.00</w:t>
            </w:r>
          </w:p>
        </w:tc>
        <w:tc>
          <w:tcPr>
            <w:tcW w:w="1251" w:type="dxa"/>
            <w:tcBorders>
              <w:top w:val="single" w:color="auto" w:sz="4" w:space="0"/>
              <w:left w:val="single" w:color="auto" w:sz="4" w:space="0"/>
              <w:bottom w:val="single" w:color="auto" w:sz="4" w:space="0"/>
              <w:right w:val="single" w:color="auto" w:sz="4" w:space="0"/>
            </w:tcBorders>
            <w:vAlign w:val="center"/>
          </w:tcPr>
          <w:p w14:paraId="77F6E64D">
            <w:pPr>
              <w:spacing w:line="240" w:lineRule="auto"/>
              <w:jc w:val="center"/>
              <w:rPr>
                <w:rFonts w:ascii="Times New Roman" w:hAnsi="Times New Roman" w:cs="Times New Roman"/>
                <w:sz w:val="20"/>
                <w:szCs w:val="20"/>
              </w:rPr>
            </w:pPr>
            <w:r>
              <w:rPr>
                <w:rFonts w:ascii="Times New Roman" w:hAnsi="Times New Roman" w:cs="Times New Roman"/>
                <w:sz w:val="20"/>
                <w:szCs w:val="20"/>
              </w:rPr>
              <w:t>GOG/IGF</w:t>
            </w:r>
          </w:p>
        </w:tc>
        <w:tc>
          <w:tcPr>
            <w:tcW w:w="992" w:type="dxa"/>
            <w:tcBorders>
              <w:top w:val="single" w:color="auto" w:sz="4" w:space="0"/>
              <w:left w:val="single" w:color="auto" w:sz="4" w:space="0"/>
              <w:bottom w:val="single" w:color="auto" w:sz="4" w:space="0"/>
              <w:right w:val="single" w:color="auto" w:sz="4" w:space="0"/>
            </w:tcBorders>
            <w:vAlign w:val="center"/>
          </w:tcPr>
          <w:p w14:paraId="55EE1EC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B1F3CB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8690774">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9,000.00</w:t>
            </w:r>
          </w:p>
        </w:tc>
        <w:tc>
          <w:tcPr>
            <w:tcW w:w="1276" w:type="dxa"/>
            <w:tcBorders>
              <w:top w:val="single" w:color="auto" w:sz="4" w:space="0"/>
              <w:left w:val="single" w:color="auto" w:sz="4" w:space="0"/>
              <w:bottom w:val="single" w:color="auto" w:sz="4" w:space="0"/>
              <w:right w:val="single" w:color="auto" w:sz="4" w:space="0"/>
            </w:tcBorders>
            <w:vAlign w:val="center"/>
          </w:tcPr>
          <w:p w14:paraId="204FD837">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2267F1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09E739CE">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6A14525">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3E63D7B">
            <w:pPr>
              <w:spacing w:after="0" w:line="240" w:lineRule="auto"/>
              <w:jc w:val="center"/>
              <w:rPr>
                <w:rFonts w:ascii="Times New Roman" w:hAnsi="Times New Roman" w:cs="Times New Roman"/>
                <w:sz w:val="20"/>
                <w:szCs w:val="20"/>
                <w:lang w:val="en-GB" w:eastAsia="en-GB"/>
              </w:rPr>
            </w:pPr>
          </w:p>
        </w:tc>
      </w:tr>
      <w:tr w14:paraId="40A4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E550A4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F78514F">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Promotion of Birim North District Commodity Satellite Market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05D425C9">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6BA3A94">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21662033">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5EE159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9BF7CF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2296579">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49269BB6">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9307D44">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044285FA">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71A8D5C">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0ADA51E">
            <w:pPr>
              <w:spacing w:after="0" w:line="240" w:lineRule="auto"/>
              <w:jc w:val="center"/>
              <w:rPr>
                <w:rFonts w:ascii="Times New Roman" w:hAnsi="Times New Roman" w:cs="Times New Roman"/>
                <w:sz w:val="20"/>
                <w:szCs w:val="20"/>
                <w:lang w:val="en-GB" w:eastAsia="en-GB"/>
              </w:rPr>
            </w:pPr>
          </w:p>
        </w:tc>
      </w:tr>
      <w:tr w14:paraId="147F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48084F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1794BAD">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Promote agricultural data collection and analysis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558E6D1">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E9BB7E4">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15,000.00</w:t>
            </w:r>
          </w:p>
        </w:tc>
        <w:tc>
          <w:tcPr>
            <w:tcW w:w="1251" w:type="dxa"/>
            <w:tcBorders>
              <w:top w:val="single" w:color="auto" w:sz="4" w:space="0"/>
              <w:left w:val="single" w:color="auto" w:sz="4" w:space="0"/>
              <w:bottom w:val="single" w:color="auto" w:sz="4" w:space="0"/>
              <w:right w:val="single" w:color="auto" w:sz="4" w:space="0"/>
            </w:tcBorders>
            <w:vAlign w:val="center"/>
          </w:tcPr>
          <w:p w14:paraId="16EA949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05400A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1AB158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B65178F">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15,000.00</w:t>
            </w:r>
          </w:p>
        </w:tc>
        <w:tc>
          <w:tcPr>
            <w:tcW w:w="1276" w:type="dxa"/>
            <w:tcBorders>
              <w:top w:val="single" w:color="auto" w:sz="4" w:space="0"/>
              <w:left w:val="single" w:color="auto" w:sz="4" w:space="0"/>
              <w:bottom w:val="single" w:color="auto" w:sz="4" w:space="0"/>
              <w:right w:val="single" w:color="auto" w:sz="4" w:space="0"/>
            </w:tcBorders>
            <w:vAlign w:val="center"/>
          </w:tcPr>
          <w:p w14:paraId="0045A231">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A6BF218">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6A333059">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8D2C64D">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90E4BD1">
            <w:pPr>
              <w:spacing w:after="0" w:line="240" w:lineRule="auto"/>
              <w:jc w:val="center"/>
              <w:rPr>
                <w:rFonts w:ascii="Times New Roman" w:hAnsi="Times New Roman" w:cs="Times New Roman"/>
                <w:sz w:val="20"/>
                <w:szCs w:val="20"/>
                <w:lang w:val="en-GB" w:eastAsia="en-GB"/>
              </w:rPr>
            </w:pPr>
          </w:p>
        </w:tc>
      </w:tr>
      <w:tr w14:paraId="1504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8A841EE">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9F64470">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Facilitate agricultural planning and policy implementation (RELC, PBB, PERD, etc.)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7AC7BFE">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1F1D8A0E">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6,165.65</w:t>
            </w:r>
          </w:p>
        </w:tc>
        <w:tc>
          <w:tcPr>
            <w:tcW w:w="1251" w:type="dxa"/>
            <w:tcBorders>
              <w:top w:val="single" w:color="auto" w:sz="4" w:space="0"/>
              <w:left w:val="single" w:color="auto" w:sz="4" w:space="0"/>
              <w:bottom w:val="single" w:color="auto" w:sz="4" w:space="0"/>
              <w:right w:val="single" w:color="auto" w:sz="4" w:space="0"/>
            </w:tcBorders>
            <w:vAlign w:val="center"/>
          </w:tcPr>
          <w:p w14:paraId="4B45F933">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676099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95BE86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5EFE135">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6,165.65</w:t>
            </w:r>
          </w:p>
        </w:tc>
        <w:tc>
          <w:tcPr>
            <w:tcW w:w="1276" w:type="dxa"/>
            <w:tcBorders>
              <w:top w:val="single" w:color="auto" w:sz="4" w:space="0"/>
              <w:left w:val="single" w:color="auto" w:sz="4" w:space="0"/>
              <w:bottom w:val="single" w:color="auto" w:sz="4" w:space="0"/>
              <w:right w:val="single" w:color="auto" w:sz="4" w:space="0"/>
            </w:tcBorders>
            <w:vAlign w:val="center"/>
          </w:tcPr>
          <w:p w14:paraId="7E9F78A7">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6E4AD08">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4DCEEA3E">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5FD1A4D">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9E6C448">
            <w:pPr>
              <w:spacing w:after="0" w:line="240" w:lineRule="auto"/>
              <w:jc w:val="center"/>
              <w:rPr>
                <w:rFonts w:ascii="Times New Roman" w:hAnsi="Times New Roman" w:cs="Times New Roman"/>
                <w:sz w:val="20"/>
                <w:szCs w:val="20"/>
                <w:lang w:val="en-GB" w:eastAsia="en-GB"/>
              </w:rPr>
            </w:pPr>
          </w:p>
        </w:tc>
      </w:tr>
      <w:tr w14:paraId="3FD4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1C032C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5689936">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Promote Effective and efficient extension service delivery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8CAB151">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23013E47">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01BEF912">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665E1C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D92AE7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F3CC82D">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39D84D3A">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A176C9B">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2FAE5B8A">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EFA7FD2">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B066816">
            <w:pPr>
              <w:spacing w:after="0" w:line="240" w:lineRule="auto"/>
              <w:jc w:val="center"/>
              <w:rPr>
                <w:rFonts w:ascii="Times New Roman" w:hAnsi="Times New Roman" w:cs="Times New Roman"/>
                <w:sz w:val="20"/>
                <w:szCs w:val="20"/>
                <w:lang w:val="en-GB" w:eastAsia="en-GB"/>
              </w:rPr>
            </w:pPr>
          </w:p>
        </w:tc>
      </w:tr>
      <w:tr w14:paraId="0CB8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722E7C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123C9F7">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Organise Staff capacity development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7507D36E">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484726D6">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6CA9AD97">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4756F7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843158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09CE2CE">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4DB5FD15">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9BAFF65">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75E4ADB0">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60E83DA2">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8916411">
            <w:pPr>
              <w:spacing w:after="0" w:line="240" w:lineRule="auto"/>
              <w:jc w:val="center"/>
              <w:rPr>
                <w:rFonts w:ascii="Times New Roman" w:hAnsi="Times New Roman" w:cs="Times New Roman"/>
                <w:sz w:val="20"/>
                <w:szCs w:val="20"/>
                <w:lang w:val="en-GB" w:eastAsia="en-GB"/>
              </w:rPr>
            </w:pPr>
          </w:p>
        </w:tc>
      </w:tr>
      <w:tr w14:paraId="021B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42FAF5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4673B6E">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Promote sustainable climate resilient agricultural production  systems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75FD117">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1E528EF">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5F6040E6">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AA69CD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4DC6D9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7648F73">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37DFE999">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4115C9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491AB832">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11922BE">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C569EED">
            <w:pPr>
              <w:spacing w:after="0" w:line="240" w:lineRule="auto"/>
              <w:jc w:val="center"/>
              <w:rPr>
                <w:rFonts w:ascii="Times New Roman" w:hAnsi="Times New Roman" w:cs="Times New Roman"/>
                <w:sz w:val="20"/>
                <w:szCs w:val="20"/>
                <w:lang w:val="en-GB" w:eastAsia="en-GB"/>
              </w:rPr>
            </w:pPr>
          </w:p>
        </w:tc>
      </w:tr>
      <w:tr w14:paraId="5B9A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E3B7FB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B9FFE34">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Development and formation of FBOs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3E7F691">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04EB052D">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4732436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E51694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4411AA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0A8E36C">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3A295CC8">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FD9477C">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2D98504A">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74D0478">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0B14469">
            <w:pPr>
              <w:spacing w:after="0" w:line="240" w:lineRule="auto"/>
              <w:jc w:val="center"/>
              <w:rPr>
                <w:rFonts w:ascii="Times New Roman" w:hAnsi="Times New Roman" w:cs="Times New Roman"/>
                <w:sz w:val="20"/>
                <w:szCs w:val="20"/>
                <w:lang w:val="en-GB" w:eastAsia="en-GB"/>
              </w:rPr>
            </w:pPr>
          </w:p>
        </w:tc>
      </w:tr>
      <w:tr w14:paraId="2456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CA1716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889450D">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Promote agricultural innovation/technology through demonstrations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52AF77C">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0C65423E">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23AAF11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FF0759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6DB36E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2D74105">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26E640B3">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A4CCB5F">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1F22EC22">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9C9880E">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375414C">
            <w:pPr>
              <w:spacing w:after="0" w:line="240" w:lineRule="auto"/>
              <w:jc w:val="center"/>
              <w:rPr>
                <w:rFonts w:ascii="Times New Roman" w:hAnsi="Times New Roman" w:cs="Times New Roman"/>
                <w:sz w:val="20"/>
                <w:szCs w:val="20"/>
                <w:lang w:val="en-GB" w:eastAsia="en-GB"/>
              </w:rPr>
            </w:pPr>
          </w:p>
        </w:tc>
      </w:tr>
      <w:tr w14:paraId="3DB1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6DB735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BE504E3">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Promote improved crop varieties for higher yields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BF92CFD">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613FCC69">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6791C49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E2EC22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2DAEC9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3B447CE">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1633A4F2">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64B9C19">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2DB05029">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60001001">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D72F1C4">
            <w:pPr>
              <w:spacing w:after="0" w:line="240" w:lineRule="auto"/>
              <w:jc w:val="center"/>
              <w:rPr>
                <w:rFonts w:ascii="Times New Roman" w:hAnsi="Times New Roman" w:cs="Times New Roman"/>
                <w:sz w:val="20"/>
                <w:szCs w:val="20"/>
                <w:lang w:val="en-GB" w:eastAsia="en-GB"/>
              </w:rPr>
            </w:pPr>
          </w:p>
        </w:tc>
      </w:tr>
      <w:tr w14:paraId="579E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EB5B8DE">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C820732">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Promote safe use of Agro chemicals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335AEE65">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42785B61">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1E56650B">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36F117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6FCE99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F9A92C9">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57FDFAB1">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58731B1">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6E8A2186">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43503CC">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0DF7529">
            <w:pPr>
              <w:spacing w:after="0" w:line="240" w:lineRule="auto"/>
              <w:jc w:val="center"/>
              <w:rPr>
                <w:rFonts w:ascii="Times New Roman" w:hAnsi="Times New Roman" w:cs="Times New Roman"/>
                <w:sz w:val="20"/>
                <w:szCs w:val="20"/>
                <w:lang w:val="en-GB" w:eastAsia="en-GB"/>
              </w:rPr>
            </w:pPr>
          </w:p>
        </w:tc>
      </w:tr>
      <w:tr w14:paraId="306E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8B0A8C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C47FD0A">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stakeholder capacity building in crop  disease and pest control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0C33030">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B1C8D2F">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5161258E">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6EA9E7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1CEFC7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CB795DA">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69FCB05F">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E072719">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1373A3DB">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661BDC2">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EB993F7">
            <w:pPr>
              <w:spacing w:after="0" w:line="240" w:lineRule="auto"/>
              <w:jc w:val="center"/>
              <w:rPr>
                <w:rFonts w:ascii="Times New Roman" w:hAnsi="Times New Roman" w:cs="Times New Roman"/>
                <w:sz w:val="20"/>
                <w:szCs w:val="20"/>
                <w:lang w:val="en-GB" w:eastAsia="en-GB"/>
              </w:rPr>
            </w:pPr>
          </w:p>
        </w:tc>
      </w:tr>
      <w:tr w14:paraId="4C4E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443247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ED9CA88">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Carry-out post-harvest loss reduction in agricultural commodities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43BA830">
            <w:pPr>
              <w:spacing w:line="240" w:lineRule="auto"/>
              <w:jc w:val="center"/>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6FAFF8C0">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9,000.00</w:t>
            </w:r>
          </w:p>
        </w:tc>
        <w:tc>
          <w:tcPr>
            <w:tcW w:w="1251" w:type="dxa"/>
            <w:tcBorders>
              <w:top w:val="single" w:color="auto" w:sz="4" w:space="0"/>
              <w:left w:val="single" w:color="auto" w:sz="4" w:space="0"/>
              <w:bottom w:val="single" w:color="auto" w:sz="4" w:space="0"/>
              <w:right w:val="single" w:color="auto" w:sz="4" w:space="0"/>
            </w:tcBorders>
            <w:vAlign w:val="center"/>
          </w:tcPr>
          <w:p w14:paraId="4CE6CA3F">
            <w:pPr>
              <w:spacing w:line="240" w:lineRule="auto"/>
              <w:jc w:val="center"/>
              <w:rPr>
                <w:rFonts w:ascii="Times New Roman" w:hAnsi="Times New Roman" w:cs="Times New Roman"/>
                <w:sz w:val="20"/>
                <w:szCs w:val="20"/>
              </w:rPr>
            </w:pPr>
            <w:r>
              <w:rPr>
                <w:rFonts w:ascii="Times New Roman" w:hAnsi="Times New Roman" w:cs="Times New Roman"/>
                <w:sz w:val="20"/>
                <w:szCs w:val="20"/>
              </w:rPr>
              <w:t>GOG/IGF</w:t>
            </w:r>
          </w:p>
        </w:tc>
        <w:tc>
          <w:tcPr>
            <w:tcW w:w="992" w:type="dxa"/>
            <w:tcBorders>
              <w:top w:val="single" w:color="auto" w:sz="4" w:space="0"/>
              <w:left w:val="single" w:color="auto" w:sz="4" w:space="0"/>
              <w:bottom w:val="single" w:color="auto" w:sz="4" w:space="0"/>
              <w:right w:val="single" w:color="auto" w:sz="4" w:space="0"/>
            </w:tcBorders>
            <w:vAlign w:val="center"/>
          </w:tcPr>
          <w:p w14:paraId="4CE9AD5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BAB2C3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0CBCC0A">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9,000.00</w:t>
            </w:r>
          </w:p>
        </w:tc>
        <w:tc>
          <w:tcPr>
            <w:tcW w:w="1276" w:type="dxa"/>
            <w:tcBorders>
              <w:top w:val="single" w:color="auto" w:sz="4" w:space="0"/>
              <w:left w:val="single" w:color="auto" w:sz="4" w:space="0"/>
              <w:bottom w:val="single" w:color="auto" w:sz="4" w:space="0"/>
              <w:right w:val="single" w:color="auto" w:sz="4" w:space="0"/>
            </w:tcBorders>
            <w:vAlign w:val="center"/>
          </w:tcPr>
          <w:p w14:paraId="155F6CDC">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8DFE381">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10278C74">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84407A5">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4E6260C">
            <w:pPr>
              <w:spacing w:after="0" w:line="240" w:lineRule="auto"/>
              <w:jc w:val="center"/>
              <w:rPr>
                <w:rFonts w:ascii="Times New Roman" w:hAnsi="Times New Roman" w:cs="Times New Roman"/>
                <w:sz w:val="20"/>
                <w:szCs w:val="20"/>
                <w:lang w:val="en-GB" w:eastAsia="en-GB"/>
              </w:rPr>
            </w:pPr>
          </w:p>
        </w:tc>
      </w:tr>
      <w:tr w14:paraId="757A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7B227F4C">
            <w:pPr>
              <w:spacing w:after="0" w:line="240" w:lineRule="auto"/>
              <w:jc w:val="center"/>
              <w:rPr>
                <w:rFonts w:ascii="Times New Roman" w:hAnsi="Times New Roman" w:cs="Times New Roman"/>
                <w:sz w:val="20"/>
                <w:szCs w:val="20"/>
                <w:lang w:val="en-GB" w:eastAsia="en-GB"/>
              </w:rPr>
            </w:pPr>
            <w:r>
              <w:rPr>
                <w:rFonts w:ascii="Times New Roman" w:hAnsi="Times New Roman" w:eastAsia="Calibri" w:cs="Times New Roman"/>
                <w:b/>
                <w:sz w:val="20"/>
                <w:szCs w:val="20"/>
              </w:rPr>
              <w:t>BUSINESS ADVISORY CENTRE (BAC)</w:t>
            </w:r>
          </w:p>
        </w:tc>
      </w:tr>
      <w:tr w14:paraId="787A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68782D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7B38E08">
            <w:pPr>
              <w:spacing w:line="24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Formation and improving Associations </w:t>
            </w:r>
            <w:r>
              <w:rPr>
                <w:rFonts w:ascii="Times New Roman" w:hAnsi="Times New Roman" w:cs="Times New Roman"/>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E5CA298">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2D68B51">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0BAB841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DF600E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18E56E4">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CA85E03">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622B9C96">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E231E4E">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44E5AD2">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CFF04E1">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E6AF65E">
            <w:pPr>
              <w:spacing w:line="240" w:lineRule="auto"/>
              <w:jc w:val="both"/>
              <w:rPr>
                <w:rFonts w:ascii="Times New Roman" w:hAnsi="Times New Roman" w:cs="Times New Roman"/>
                <w:sz w:val="20"/>
                <w:szCs w:val="20"/>
              </w:rPr>
            </w:pPr>
          </w:p>
        </w:tc>
      </w:tr>
      <w:tr w14:paraId="5F3B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6903A4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6185E7A">
            <w:pPr>
              <w:spacing w:line="24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Organise Business Forums </w:t>
            </w:r>
            <w:r>
              <w:rPr>
                <w:rFonts w:ascii="Times New Roman" w:hAnsi="Times New Roman" w:cs="Times New Roman"/>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FED605C">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609694CB">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0BD714C1">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543DDE5">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7A4735C">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AEA49BD">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391BD624">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BF2EDEE">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19EAEE9">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FA8E66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D9BDB60">
            <w:pPr>
              <w:spacing w:line="240" w:lineRule="auto"/>
              <w:jc w:val="both"/>
              <w:rPr>
                <w:rFonts w:ascii="Times New Roman" w:hAnsi="Times New Roman" w:cs="Times New Roman"/>
                <w:sz w:val="20"/>
                <w:szCs w:val="20"/>
              </w:rPr>
            </w:pPr>
          </w:p>
        </w:tc>
      </w:tr>
      <w:tr w14:paraId="3C1F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87B09C2">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3321AEA">
            <w:pPr>
              <w:spacing w:line="240" w:lineRule="auto"/>
              <w:contextualSpacing/>
              <w:rPr>
                <w:rFonts w:ascii="Times New Roman" w:hAnsi="Times New Roman" w:eastAsia="Calibri" w:cs="Times New Roman"/>
                <w:bCs/>
                <w:sz w:val="20"/>
                <w:szCs w:val="20"/>
              </w:rPr>
            </w:pPr>
            <w:r>
              <w:rPr>
                <w:rFonts w:ascii="Times New Roman" w:hAnsi="Times New Roman" w:eastAsia="Calibri" w:cs="Times New Roman"/>
                <w:bCs/>
                <w:sz w:val="20"/>
                <w:szCs w:val="20"/>
              </w:rPr>
              <w:t xml:space="preserve">Strengthening of Association of Small-Scale Industries (ASSI) </w:t>
            </w:r>
            <w:r>
              <w:rPr>
                <w:rFonts w:ascii="Times New Roman" w:hAnsi="Times New Roman" w:cs="Times New Roman"/>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43F48C3">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AD7652A">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7450CDB4">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AF05D3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235C7E6">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4429B1E">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3A45C290">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145E11C">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0D9BE00">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C5ABCC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008C94E">
            <w:pPr>
              <w:spacing w:line="240" w:lineRule="auto"/>
              <w:jc w:val="both"/>
              <w:rPr>
                <w:rFonts w:ascii="Times New Roman" w:hAnsi="Times New Roman" w:cs="Times New Roman"/>
                <w:sz w:val="20"/>
                <w:szCs w:val="20"/>
              </w:rPr>
            </w:pPr>
          </w:p>
        </w:tc>
      </w:tr>
      <w:tr w14:paraId="75B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D85F3E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6EAD589">
            <w:pPr>
              <w:spacing w:line="240" w:lineRule="auto"/>
              <w:contextualSpacing/>
              <w:rPr>
                <w:rFonts w:ascii="Times New Roman" w:hAnsi="Times New Roman" w:eastAsia="Calibri" w:cs="Times New Roman"/>
                <w:bCs/>
                <w:sz w:val="20"/>
                <w:szCs w:val="20"/>
              </w:rPr>
            </w:pPr>
            <w:r>
              <w:rPr>
                <w:rFonts w:ascii="Times New Roman" w:hAnsi="Times New Roman" w:eastAsia="Calibri" w:cs="Times New Roman"/>
                <w:bCs/>
                <w:sz w:val="20"/>
                <w:szCs w:val="20"/>
              </w:rPr>
              <w:t xml:space="preserve">Organise Business Counselling and Monitoring  for 60 women and 40 Men </w:t>
            </w:r>
            <w:r>
              <w:rPr>
                <w:rFonts w:ascii="Times New Roman" w:hAnsi="Times New Roman" w:cs="Times New Roman"/>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A0EC2D5">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3554BF4">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0A4FC309">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0F9D942">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C107A29">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F2B7826">
            <w:pPr>
              <w:spacing w:line="240" w:lineRule="auto"/>
              <w:jc w:val="center"/>
              <w:rPr>
                <w:rFonts w:ascii="Times New Roman" w:hAnsi="Times New Roman" w:cs="Times New Roman"/>
                <w:sz w:val="20"/>
                <w:szCs w:val="20"/>
              </w:rPr>
            </w:pPr>
            <w:r>
              <w:rPr>
                <w:rFonts w:ascii="Times New Roman" w:hAnsi="Times New Roman" w:cs="Times New Roman"/>
                <w:sz w:val="20"/>
                <w:szCs w:val="20"/>
              </w:rPr>
              <w:t>1500.00</w:t>
            </w:r>
          </w:p>
        </w:tc>
        <w:tc>
          <w:tcPr>
            <w:tcW w:w="1276" w:type="dxa"/>
            <w:tcBorders>
              <w:top w:val="single" w:color="auto" w:sz="4" w:space="0"/>
              <w:left w:val="single" w:color="auto" w:sz="4" w:space="0"/>
              <w:bottom w:val="single" w:color="auto" w:sz="4" w:space="0"/>
              <w:right w:val="single" w:color="auto" w:sz="4" w:space="0"/>
            </w:tcBorders>
            <w:vAlign w:val="center"/>
          </w:tcPr>
          <w:p w14:paraId="61AD0A04">
            <w:pPr>
              <w:spacing w:line="240" w:lineRule="auto"/>
              <w:jc w:val="center"/>
              <w:rPr>
                <w:rFonts w:ascii="Times New Roman" w:hAnsi="Times New Roman" w:cs="Times New Roman"/>
                <w:sz w:val="20"/>
                <w:szCs w:val="20"/>
              </w:rPr>
            </w:pPr>
          </w:p>
          <w:p w14:paraId="46662ED8">
            <w:pPr>
              <w:spacing w:line="240" w:lineRule="auto"/>
              <w:jc w:val="center"/>
              <w:rPr>
                <w:rFonts w:ascii="Times New Roman" w:hAnsi="Times New Roman" w:cs="Times New Roman"/>
                <w:sz w:val="20"/>
                <w:szCs w:val="20"/>
              </w:rPr>
            </w:pPr>
            <w:r>
              <w:rPr>
                <w:rFonts w:ascii="Times New Roman" w:hAnsi="Times New Roman" w:cs="Times New Roman"/>
                <w:sz w:val="20"/>
                <w:szCs w:val="20"/>
              </w:rPr>
              <w:t>1200.00</w:t>
            </w:r>
          </w:p>
        </w:tc>
        <w:tc>
          <w:tcPr>
            <w:tcW w:w="757" w:type="dxa"/>
            <w:tcBorders>
              <w:top w:val="single" w:color="auto" w:sz="4" w:space="0"/>
              <w:left w:val="single" w:color="auto" w:sz="4" w:space="0"/>
              <w:bottom w:val="single" w:color="auto" w:sz="4" w:space="0"/>
              <w:right w:val="single" w:color="auto" w:sz="4" w:space="0"/>
            </w:tcBorders>
            <w:vAlign w:val="center"/>
          </w:tcPr>
          <w:p w14:paraId="591FE3D1">
            <w:pPr>
              <w:spacing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1212" w:type="dxa"/>
            <w:tcBorders>
              <w:top w:val="single" w:color="auto" w:sz="4" w:space="0"/>
              <w:left w:val="single" w:color="auto" w:sz="4" w:space="0"/>
              <w:bottom w:val="single" w:color="auto" w:sz="4" w:space="0"/>
              <w:right w:val="single" w:color="auto" w:sz="4" w:space="0"/>
            </w:tcBorders>
            <w:vAlign w:val="center"/>
          </w:tcPr>
          <w:p w14:paraId="3773B07A">
            <w:pPr>
              <w:spacing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45185" cy="908685"/>
                  <wp:effectExtent l="0" t="0" r="0" b="5715"/>
                  <wp:docPr id="2" name="Picture 2" descr="C:\Users\DELL\Desktop\GJSP II 2026\P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ELL\Desktop\GJSP II 2026\P6.jf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flipH="1">
                            <a:off x="0" y="0"/>
                            <a:ext cx="845185" cy="909114"/>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C461335">
            <w:pPr>
              <w:spacing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75BBEC1">
            <w:pPr>
              <w:spacing w:line="240" w:lineRule="auto"/>
              <w:jc w:val="both"/>
              <w:rPr>
                <w:rFonts w:ascii="Times New Roman" w:hAnsi="Times New Roman" w:cs="Times New Roman"/>
                <w:sz w:val="20"/>
                <w:szCs w:val="20"/>
              </w:rPr>
            </w:pPr>
          </w:p>
        </w:tc>
      </w:tr>
      <w:tr w14:paraId="7980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3B3013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543687C">
            <w:pPr>
              <w:spacing w:line="240" w:lineRule="auto"/>
              <w:contextualSpacing/>
              <w:rPr>
                <w:rFonts w:ascii="Times New Roman" w:hAnsi="Times New Roman" w:eastAsia="Calibri" w:cs="Times New Roman"/>
                <w:bCs/>
                <w:sz w:val="20"/>
                <w:szCs w:val="20"/>
              </w:rPr>
            </w:pPr>
            <w:r>
              <w:rPr>
                <w:rFonts w:ascii="Times New Roman" w:hAnsi="Times New Roman" w:eastAsia="Calibri" w:cs="Times New Roman"/>
                <w:bCs/>
                <w:sz w:val="20"/>
                <w:szCs w:val="20"/>
              </w:rPr>
              <w:t xml:space="preserve">Organise training in General Business Management and Planning for 100 women and 50 men </w:t>
            </w:r>
            <w:r>
              <w:rPr>
                <w:rFonts w:ascii="Times New Roman" w:hAnsi="Times New Roman" w:cs="Times New Roman"/>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60C4965">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60687431">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7,500.00</w:t>
            </w:r>
          </w:p>
        </w:tc>
        <w:tc>
          <w:tcPr>
            <w:tcW w:w="1251" w:type="dxa"/>
            <w:tcBorders>
              <w:top w:val="single" w:color="auto" w:sz="4" w:space="0"/>
              <w:left w:val="single" w:color="auto" w:sz="4" w:space="0"/>
              <w:bottom w:val="single" w:color="auto" w:sz="4" w:space="0"/>
              <w:right w:val="single" w:color="auto" w:sz="4" w:space="0"/>
            </w:tcBorders>
            <w:vAlign w:val="center"/>
          </w:tcPr>
          <w:p w14:paraId="223E671A">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F06081E">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5723F2A">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AEE070B">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7,500.00</w:t>
            </w:r>
          </w:p>
        </w:tc>
        <w:tc>
          <w:tcPr>
            <w:tcW w:w="1276" w:type="dxa"/>
            <w:tcBorders>
              <w:top w:val="single" w:color="auto" w:sz="4" w:space="0"/>
              <w:left w:val="single" w:color="auto" w:sz="4" w:space="0"/>
              <w:bottom w:val="single" w:color="auto" w:sz="4" w:space="0"/>
              <w:right w:val="single" w:color="auto" w:sz="4" w:space="0"/>
            </w:tcBorders>
            <w:vAlign w:val="center"/>
          </w:tcPr>
          <w:p w14:paraId="18913A9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6809309">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D958940">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CBF32F1">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E122775">
            <w:pPr>
              <w:spacing w:line="240" w:lineRule="auto"/>
              <w:jc w:val="both"/>
              <w:rPr>
                <w:rFonts w:ascii="Times New Roman" w:hAnsi="Times New Roman" w:cs="Times New Roman"/>
                <w:sz w:val="20"/>
                <w:szCs w:val="20"/>
              </w:rPr>
            </w:pPr>
          </w:p>
        </w:tc>
      </w:tr>
      <w:tr w14:paraId="013F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69B198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72F6321">
            <w:pPr>
              <w:spacing w:line="240" w:lineRule="auto"/>
              <w:contextualSpacing/>
              <w:rPr>
                <w:rFonts w:ascii="Times New Roman" w:hAnsi="Times New Roman" w:eastAsia="Calibri" w:cs="Times New Roman"/>
                <w:bCs/>
                <w:sz w:val="20"/>
                <w:szCs w:val="20"/>
              </w:rPr>
            </w:pPr>
            <w:r>
              <w:rPr>
                <w:rFonts w:ascii="Times New Roman" w:hAnsi="Times New Roman" w:eastAsia="Calibri" w:cs="Times New Roman"/>
                <w:bCs/>
                <w:sz w:val="20"/>
                <w:szCs w:val="20"/>
              </w:rPr>
              <w:t xml:space="preserve">Organise Training, Coaching and Mentoring of Artisans </w:t>
            </w:r>
            <w:r>
              <w:rPr>
                <w:rFonts w:ascii="Times New Roman" w:hAnsi="Times New Roman" w:cs="Times New Roman"/>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FFAB1F9">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1F8A4DCA">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7,500.00</w:t>
            </w:r>
          </w:p>
        </w:tc>
        <w:tc>
          <w:tcPr>
            <w:tcW w:w="1251" w:type="dxa"/>
            <w:tcBorders>
              <w:top w:val="single" w:color="auto" w:sz="4" w:space="0"/>
              <w:left w:val="single" w:color="auto" w:sz="4" w:space="0"/>
              <w:bottom w:val="single" w:color="auto" w:sz="4" w:space="0"/>
              <w:right w:val="single" w:color="auto" w:sz="4" w:space="0"/>
            </w:tcBorders>
            <w:vAlign w:val="center"/>
          </w:tcPr>
          <w:p w14:paraId="17D6F7EE">
            <w:pPr>
              <w:spacing w:line="240" w:lineRule="auto"/>
              <w:jc w:val="center"/>
              <w:rPr>
                <w:rFonts w:ascii="Times New Roman" w:hAnsi="Times New Roman" w:cs="Times New Roman"/>
                <w:sz w:val="20"/>
                <w:szCs w:val="20"/>
              </w:rPr>
            </w:pPr>
            <w:r>
              <w:rPr>
                <w:rFonts w:ascii="Times New Roman" w:hAnsi="Times New Roman" w:cs="Times New Roman"/>
                <w:sz w:val="20"/>
                <w:szCs w:val="20"/>
              </w:rPr>
              <w:t>IGFs</w:t>
            </w:r>
          </w:p>
        </w:tc>
        <w:tc>
          <w:tcPr>
            <w:tcW w:w="992" w:type="dxa"/>
            <w:tcBorders>
              <w:top w:val="single" w:color="auto" w:sz="4" w:space="0"/>
              <w:left w:val="single" w:color="auto" w:sz="4" w:space="0"/>
              <w:bottom w:val="single" w:color="auto" w:sz="4" w:space="0"/>
              <w:right w:val="single" w:color="auto" w:sz="4" w:space="0"/>
            </w:tcBorders>
            <w:vAlign w:val="center"/>
          </w:tcPr>
          <w:p w14:paraId="2CF22C1F">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1935FC0">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DCD3552">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7,500.00</w:t>
            </w:r>
          </w:p>
        </w:tc>
        <w:tc>
          <w:tcPr>
            <w:tcW w:w="1276" w:type="dxa"/>
            <w:tcBorders>
              <w:top w:val="single" w:color="auto" w:sz="4" w:space="0"/>
              <w:left w:val="single" w:color="auto" w:sz="4" w:space="0"/>
              <w:bottom w:val="single" w:color="auto" w:sz="4" w:space="0"/>
              <w:right w:val="single" w:color="auto" w:sz="4" w:space="0"/>
            </w:tcBorders>
            <w:vAlign w:val="center"/>
          </w:tcPr>
          <w:p w14:paraId="74836C3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0DA9918">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D303352">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D2D7F2C">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5747F2C">
            <w:pPr>
              <w:spacing w:line="240" w:lineRule="auto"/>
              <w:jc w:val="both"/>
              <w:rPr>
                <w:rFonts w:ascii="Times New Roman" w:hAnsi="Times New Roman" w:cs="Times New Roman"/>
                <w:sz w:val="20"/>
                <w:szCs w:val="20"/>
              </w:rPr>
            </w:pPr>
          </w:p>
        </w:tc>
      </w:tr>
      <w:tr w14:paraId="2A9E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B2CA32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A7B711F">
            <w:pPr>
              <w:spacing w:line="240" w:lineRule="auto"/>
              <w:contextualSpacing/>
              <w:rPr>
                <w:rFonts w:ascii="Times New Roman" w:hAnsi="Times New Roman" w:eastAsia="Calibri" w:cs="Times New Roman"/>
                <w:bCs/>
                <w:sz w:val="20"/>
                <w:szCs w:val="20"/>
              </w:rPr>
            </w:pPr>
            <w:r>
              <w:rPr>
                <w:rFonts w:ascii="Times New Roman" w:hAnsi="Times New Roman" w:eastAsia="Calibri" w:cs="Times New Roman"/>
                <w:bCs/>
                <w:sz w:val="20"/>
                <w:szCs w:val="20"/>
              </w:rPr>
              <w:t xml:space="preserve">Facilitate credit facilities for Enterprise (SMSE) </w:t>
            </w:r>
            <w:r>
              <w:rPr>
                <w:rFonts w:ascii="Times New Roman" w:hAnsi="Times New Roman" w:cs="Times New Roman"/>
                <w:sz w:val="20"/>
                <w:szCs w:val="20"/>
              </w:rPr>
              <w:t>by the end of Dec. 2026</w:t>
            </w:r>
            <w:r>
              <w:rPr>
                <w:rFonts w:ascii="Times New Roman" w:hAnsi="Times New Roman" w:eastAsia="Calibri" w:cs="Times New Roman"/>
                <w:bCs/>
                <w:sz w:val="20"/>
                <w:szCs w:val="20"/>
              </w:rPr>
              <w:t>.</w:t>
            </w:r>
          </w:p>
        </w:tc>
        <w:tc>
          <w:tcPr>
            <w:tcW w:w="1420" w:type="dxa"/>
            <w:tcBorders>
              <w:top w:val="single" w:color="auto" w:sz="4" w:space="0"/>
              <w:left w:val="single" w:color="auto" w:sz="4" w:space="0"/>
              <w:bottom w:val="single" w:color="auto" w:sz="4" w:space="0"/>
              <w:right w:val="single" w:color="auto" w:sz="4" w:space="0"/>
            </w:tcBorders>
            <w:vAlign w:val="center"/>
          </w:tcPr>
          <w:p w14:paraId="6CAF9DEE">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284AB46A">
            <w:pPr>
              <w:spacing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54F81136">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BB92221">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85F19D7">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36F1C62">
            <w:pPr>
              <w:spacing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76" w:type="dxa"/>
            <w:tcBorders>
              <w:top w:val="single" w:color="auto" w:sz="4" w:space="0"/>
              <w:left w:val="single" w:color="auto" w:sz="4" w:space="0"/>
              <w:bottom w:val="single" w:color="auto" w:sz="4" w:space="0"/>
              <w:right w:val="single" w:color="auto" w:sz="4" w:space="0"/>
            </w:tcBorders>
            <w:vAlign w:val="center"/>
          </w:tcPr>
          <w:p w14:paraId="28A095D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3A0784D">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E33E1BD">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767D93E">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0605E13D">
            <w:pPr>
              <w:spacing w:line="240" w:lineRule="auto"/>
              <w:jc w:val="both"/>
              <w:rPr>
                <w:rFonts w:ascii="Times New Roman" w:hAnsi="Times New Roman" w:cs="Times New Roman"/>
                <w:sz w:val="20"/>
                <w:szCs w:val="20"/>
              </w:rPr>
            </w:pPr>
          </w:p>
        </w:tc>
      </w:tr>
      <w:tr w14:paraId="39E5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270CF1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CC5E120">
            <w:pPr>
              <w:spacing w:line="240" w:lineRule="auto"/>
              <w:contextualSpacing/>
              <w:rPr>
                <w:rFonts w:ascii="Times New Roman" w:hAnsi="Times New Roman" w:eastAsia="Calibri" w:cs="Times New Roman"/>
                <w:bCs/>
                <w:sz w:val="20"/>
                <w:szCs w:val="20"/>
              </w:rPr>
            </w:pPr>
            <w:r>
              <w:rPr>
                <w:rFonts w:ascii="Times New Roman" w:hAnsi="Times New Roman" w:eastAsia="Calibri" w:cs="Times New Roman"/>
                <w:bCs/>
                <w:sz w:val="20"/>
                <w:szCs w:val="20"/>
              </w:rPr>
              <w:t xml:space="preserve">Organize  NVTI exams and Provide Startup Kits for graduate apprentices </w:t>
            </w:r>
            <w:r>
              <w:rPr>
                <w:rFonts w:ascii="Times New Roman" w:hAnsi="Times New Roman" w:cs="Times New Roman"/>
                <w:sz w:val="20"/>
                <w:szCs w:val="20"/>
              </w:rPr>
              <w:t>by the end of Dec. 2026</w:t>
            </w:r>
            <w:r>
              <w:rPr>
                <w:rFonts w:ascii="Times New Roman" w:hAnsi="Times New Roman" w:eastAsia="Calibri" w:cs="Times New Roman"/>
                <w:bCs/>
                <w:sz w:val="20"/>
                <w:szCs w:val="20"/>
              </w:rPr>
              <w:t>.</w:t>
            </w:r>
          </w:p>
        </w:tc>
        <w:tc>
          <w:tcPr>
            <w:tcW w:w="1420" w:type="dxa"/>
            <w:tcBorders>
              <w:top w:val="single" w:color="auto" w:sz="4" w:space="0"/>
              <w:left w:val="single" w:color="auto" w:sz="4" w:space="0"/>
              <w:bottom w:val="single" w:color="auto" w:sz="4" w:space="0"/>
              <w:right w:val="single" w:color="auto" w:sz="4" w:space="0"/>
            </w:tcBorders>
            <w:vAlign w:val="center"/>
          </w:tcPr>
          <w:p w14:paraId="2E5A69CF">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D99F43A">
            <w:pPr>
              <w:spacing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763B4097">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A29D3CB">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1AF052A">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265DDC0">
            <w:pPr>
              <w:spacing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76" w:type="dxa"/>
            <w:tcBorders>
              <w:top w:val="single" w:color="auto" w:sz="4" w:space="0"/>
              <w:left w:val="single" w:color="auto" w:sz="4" w:space="0"/>
              <w:bottom w:val="single" w:color="auto" w:sz="4" w:space="0"/>
              <w:right w:val="single" w:color="auto" w:sz="4" w:space="0"/>
            </w:tcBorders>
            <w:vAlign w:val="center"/>
          </w:tcPr>
          <w:p w14:paraId="18F8B8C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8D5CD0B">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D27D731">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C77557B">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91731FD">
            <w:pPr>
              <w:spacing w:line="240" w:lineRule="auto"/>
              <w:jc w:val="both"/>
              <w:rPr>
                <w:rFonts w:ascii="Times New Roman" w:hAnsi="Times New Roman" w:cs="Times New Roman"/>
                <w:sz w:val="20"/>
                <w:szCs w:val="20"/>
              </w:rPr>
            </w:pPr>
          </w:p>
        </w:tc>
      </w:tr>
      <w:tr w14:paraId="6595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8BAD2B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2332221">
            <w:pPr>
              <w:spacing w:line="240" w:lineRule="auto"/>
              <w:jc w:val="both"/>
              <w:rPr>
                <w:rFonts w:ascii="Times New Roman" w:hAnsi="Times New Roman" w:eastAsia="Calibri" w:cs="Times New Roman"/>
                <w:bCs/>
                <w:sz w:val="20"/>
                <w:szCs w:val="20"/>
              </w:rPr>
            </w:pPr>
            <w:r>
              <w:rPr>
                <w:rFonts w:ascii="Times New Roman" w:hAnsi="Times New Roman" w:cs="Times New Roman"/>
                <w:sz w:val="20"/>
                <w:szCs w:val="20"/>
              </w:rPr>
              <w:t>Support to the establishment of Wood village for artisans by the end of Dec. 2026</w:t>
            </w:r>
            <w:r>
              <w:rPr>
                <w:rFonts w:ascii="Times New Roman" w:hAnsi="Times New Roman" w:eastAsia="Calibri" w:cs="Times New Roman"/>
                <w:bCs/>
                <w:sz w:val="20"/>
                <w:szCs w:val="20"/>
              </w:rPr>
              <w:t>.</w:t>
            </w:r>
          </w:p>
        </w:tc>
        <w:tc>
          <w:tcPr>
            <w:tcW w:w="1420" w:type="dxa"/>
            <w:tcBorders>
              <w:top w:val="single" w:color="auto" w:sz="4" w:space="0"/>
              <w:left w:val="single" w:color="auto" w:sz="4" w:space="0"/>
              <w:bottom w:val="single" w:color="auto" w:sz="4" w:space="0"/>
              <w:right w:val="single" w:color="auto" w:sz="4" w:space="0"/>
            </w:tcBorders>
            <w:vAlign w:val="center"/>
          </w:tcPr>
          <w:p w14:paraId="2EB12FCB">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5E83567C">
            <w:pPr>
              <w:spacing w:line="240" w:lineRule="auto"/>
              <w:jc w:val="center"/>
              <w:rPr>
                <w:rFonts w:ascii="Times New Roman" w:hAnsi="Times New Roman" w:cs="Times New Roman"/>
                <w:sz w:val="20"/>
                <w:szCs w:val="20"/>
              </w:rPr>
            </w:pPr>
            <w:r>
              <w:rPr>
                <w:rFonts w:ascii="Times New Roman" w:hAnsi="Times New Roman" w:cs="Times New Roman"/>
                <w:sz w:val="20"/>
                <w:szCs w:val="20"/>
              </w:rPr>
              <w:t>35,975.40</w:t>
            </w:r>
          </w:p>
        </w:tc>
        <w:tc>
          <w:tcPr>
            <w:tcW w:w="1251" w:type="dxa"/>
            <w:tcBorders>
              <w:top w:val="single" w:color="auto" w:sz="4" w:space="0"/>
              <w:left w:val="single" w:color="auto" w:sz="4" w:space="0"/>
              <w:bottom w:val="single" w:color="auto" w:sz="4" w:space="0"/>
              <w:right w:val="single" w:color="auto" w:sz="4" w:space="0"/>
            </w:tcBorders>
            <w:vAlign w:val="center"/>
          </w:tcPr>
          <w:p w14:paraId="6F99C7C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99243B5">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B3C60E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65F4CC5">
            <w:pPr>
              <w:spacing w:line="240" w:lineRule="auto"/>
              <w:jc w:val="center"/>
              <w:rPr>
                <w:rFonts w:ascii="Times New Roman" w:hAnsi="Times New Roman" w:cs="Times New Roman"/>
                <w:sz w:val="20"/>
                <w:szCs w:val="20"/>
              </w:rPr>
            </w:pPr>
            <w:r>
              <w:rPr>
                <w:rFonts w:ascii="Times New Roman" w:hAnsi="Times New Roman" w:cs="Times New Roman"/>
                <w:sz w:val="20"/>
                <w:szCs w:val="20"/>
              </w:rPr>
              <w:t>35,975.40</w:t>
            </w:r>
          </w:p>
        </w:tc>
        <w:tc>
          <w:tcPr>
            <w:tcW w:w="1276" w:type="dxa"/>
            <w:tcBorders>
              <w:top w:val="single" w:color="auto" w:sz="4" w:space="0"/>
              <w:left w:val="single" w:color="auto" w:sz="4" w:space="0"/>
              <w:bottom w:val="single" w:color="auto" w:sz="4" w:space="0"/>
              <w:right w:val="single" w:color="auto" w:sz="4" w:space="0"/>
            </w:tcBorders>
            <w:vAlign w:val="center"/>
          </w:tcPr>
          <w:p w14:paraId="21111854">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7DF2489">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6896354">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FB452E6">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3DD2309">
            <w:pPr>
              <w:spacing w:line="240" w:lineRule="auto"/>
              <w:jc w:val="both"/>
              <w:rPr>
                <w:rFonts w:ascii="Times New Roman" w:hAnsi="Times New Roman" w:cs="Times New Roman"/>
                <w:sz w:val="20"/>
                <w:szCs w:val="20"/>
              </w:rPr>
            </w:pPr>
          </w:p>
        </w:tc>
      </w:tr>
      <w:tr w14:paraId="60EF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511D10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78CA141">
            <w:pPr>
              <w:spacing w:before="100" w:beforeAutospacing="1" w:line="240" w:lineRule="auto"/>
              <w:rPr>
                <w:rFonts w:ascii="Times New Roman" w:hAnsi="Times New Roman" w:eastAsia="DengXian" w:cs="Times New Roman"/>
                <w:sz w:val="20"/>
                <w:szCs w:val="20"/>
              </w:rPr>
            </w:pPr>
            <w:r>
              <w:rPr>
                <w:rFonts w:ascii="Times New Roman" w:hAnsi="Times New Roman" w:eastAsia="DengXian" w:cs="Times New Roman"/>
                <w:sz w:val="20"/>
                <w:szCs w:val="20"/>
              </w:rPr>
              <w:t>Construct Community hostels for artisans</w:t>
            </w:r>
            <w:r>
              <w:rPr>
                <w:rFonts w:ascii="Times New Roman" w:hAnsi="Times New Roman" w:cs="Times New Roman"/>
                <w:sz w:val="20"/>
                <w:szCs w:val="20"/>
              </w:rPr>
              <w:t xml:space="preserve"> by the end of Dec. 2026</w:t>
            </w:r>
            <w:r>
              <w:rPr>
                <w:rFonts w:ascii="Times New Roman" w:hAnsi="Times New Roman" w:eastAsia="Calibri" w:cs="Times New Roman"/>
                <w:bCs/>
                <w:sz w:val="20"/>
                <w:szCs w:val="20"/>
              </w:rPr>
              <w:t>.</w:t>
            </w:r>
          </w:p>
        </w:tc>
        <w:tc>
          <w:tcPr>
            <w:tcW w:w="1420" w:type="dxa"/>
            <w:tcBorders>
              <w:top w:val="single" w:color="auto" w:sz="4" w:space="0"/>
              <w:left w:val="single" w:color="auto" w:sz="4" w:space="0"/>
              <w:bottom w:val="single" w:color="auto" w:sz="4" w:space="0"/>
              <w:right w:val="single" w:color="auto" w:sz="4" w:space="0"/>
            </w:tcBorders>
            <w:vAlign w:val="center"/>
          </w:tcPr>
          <w:p w14:paraId="49131ECB">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7D9125F6">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626,000.00</w:t>
            </w:r>
          </w:p>
        </w:tc>
        <w:tc>
          <w:tcPr>
            <w:tcW w:w="1251" w:type="dxa"/>
            <w:tcBorders>
              <w:top w:val="single" w:color="auto" w:sz="4" w:space="0"/>
              <w:left w:val="single" w:color="auto" w:sz="4" w:space="0"/>
              <w:bottom w:val="single" w:color="auto" w:sz="4" w:space="0"/>
              <w:right w:val="single" w:color="auto" w:sz="4" w:space="0"/>
            </w:tcBorders>
            <w:vAlign w:val="center"/>
          </w:tcPr>
          <w:p w14:paraId="446A54D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E467DEC">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159A632">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7498F60">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626,000.00</w:t>
            </w:r>
          </w:p>
        </w:tc>
        <w:tc>
          <w:tcPr>
            <w:tcW w:w="1276" w:type="dxa"/>
            <w:tcBorders>
              <w:top w:val="single" w:color="auto" w:sz="4" w:space="0"/>
              <w:left w:val="single" w:color="auto" w:sz="4" w:space="0"/>
              <w:bottom w:val="single" w:color="auto" w:sz="4" w:space="0"/>
              <w:right w:val="single" w:color="auto" w:sz="4" w:space="0"/>
            </w:tcBorders>
            <w:vAlign w:val="center"/>
          </w:tcPr>
          <w:p w14:paraId="3C0E2D1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6E4B5A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F1AA463">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C212B15">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F7E722F">
            <w:pPr>
              <w:spacing w:line="240" w:lineRule="auto"/>
              <w:jc w:val="both"/>
              <w:rPr>
                <w:rFonts w:ascii="Times New Roman" w:hAnsi="Times New Roman" w:cs="Times New Roman"/>
                <w:sz w:val="20"/>
                <w:szCs w:val="20"/>
              </w:rPr>
            </w:pPr>
          </w:p>
        </w:tc>
      </w:tr>
      <w:tr w14:paraId="0F31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5A371BC9">
            <w:pPr>
              <w:spacing w:line="240" w:lineRule="auto"/>
              <w:jc w:val="center"/>
              <w:rPr>
                <w:rFonts w:ascii="Times New Roman" w:hAnsi="Times New Roman" w:cs="Times New Roman"/>
                <w:b/>
                <w:sz w:val="20"/>
                <w:szCs w:val="20"/>
              </w:rPr>
            </w:pPr>
            <w:r>
              <w:rPr>
                <w:rFonts w:ascii="Times New Roman" w:hAnsi="Times New Roman" w:cs="Times New Roman"/>
                <w:b/>
                <w:sz w:val="20"/>
                <w:szCs w:val="20"/>
              </w:rPr>
              <w:t>TOURISM DEVELOPMENT</w:t>
            </w:r>
          </w:p>
        </w:tc>
      </w:tr>
      <w:tr w14:paraId="1D77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46B2D7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EBCA499">
            <w:pPr>
              <w:spacing w:line="240" w:lineRule="auto"/>
              <w:jc w:val="both"/>
              <w:rPr>
                <w:rFonts w:ascii="Times New Roman" w:hAnsi="Times New Roman" w:eastAsia="Calibri" w:cs="Times New Roman"/>
                <w:bCs/>
                <w:sz w:val="20"/>
                <w:szCs w:val="20"/>
              </w:rPr>
            </w:pPr>
            <w:r>
              <w:rPr>
                <w:rFonts w:ascii="Times New Roman" w:hAnsi="Times New Roman" w:cs="Times New Roman"/>
                <w:sz w:val="20"/>
                <w:szCs w:val="20"/>
              </w:rPr>
              <w:t>Redevelopment of Adjendua waterfalls, canopy walkway and paragliding by the end of Dec. 2026</w:t>
            </w:r>
            <w:r>
              <w:rPr>
                <w:rFonts w:ascii="Times New Roman" w:hAnsi="Times New Roman" w:eastAsia="Calibri" w:cs="Times New Roman"/>
                <w:bCs/>
                <w:sz w:val="20"/>
                <w:szCs w:val="20"/>
              </w:rPr>
              <w:t>.</w:t>
            </w:r>
          </w:p>
        </w:tc>
        <w:tc>
          <w:tcPr>
            <w:tcW w:w="1420" w:type="dxa"/>
            <w:tcBorders>
              <w:top w:val="single" w:color="auto" w:sz="4" w:space="0"/>
              <w:left w:val="single" w:color="auto" w:sz="4" w:space="0"/>
              <w:bottom w:val="single" w:color="auto" w:sz="4" w:space="0"/>
              <w:right w:val="single" w:color="auto" w:sz="4" w:space="0"/>
            </w:tcBorders>
            <w:vAlign w:val="center"/>
          </w:tcPr>
          <w:p w14:paraId="46033E0D">
            <w:pPr>
              <w:spacing w:after="0"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0570429B">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3EB7EB8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0D3953A">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0109D39">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86C74AA">
            <w:pPr>
              <w:spacing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336C3769">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968299">
            <w:pPr>
              <w:spacing w:line="240" w:lineRule="auto"/>
              <w:jc w:val="center"/>
              <w:rPr>
                <w:rFonts w:ascii="Times New Roman" w:hAnsi="Times New Roman" w:cs="Times New Roman"/>
                <w:sz w:val="20"/>
                <w:szCs w:val="20"/>
              </w:rPr>
            </w:pPr>
            <w:r>
              <w:rPr>
                <w:rFonts w:ascii="Times New Roman" w:hAnsi="Times New Roman" w:cs="Times New Roman"/>
                <w:sz w:val="20"/>
                <w:szCs w:val="20"/>
                <w:lang w:val="zh-CN"/>
              </w:rPr>
              <w:t>10</w:t>
            </w:r>
            <w:r>
              <w:rPr>
                <w:rFonts w:ascii="Times New Roman" w:hAnsi="Times New Roman" w:cs="Times New Roman"/>
                <w:sz w:val="20"/>
                <w:szCs w:val="20"/>
              </w:rPr>
              <w:t>%</w:t>
            </w:r>
          </w:p>
        </w:tc>
        <w:tc>
          <w:tcPr>
            <w:tcW w:w="1212" w:type="dxa"/>
            <w:tcBorders>
              <w:top w:val="single" w:color="auto" w:sz="4" w:space="0"/>
              <w:left w:val="single" w:color="auto" w:sz="4" w:space="0"/>
              <w:bottom w:val="single" w:color="auto" w:sz="4" w:space="0"/>
              <w:right w:val="single" w:color="auto" w:sz="4" w:space="0"/>
            </w:tcBorders>
            <w:vAlign w:val="center"/>
          </w:tcPr>
          <w:p w14:paraId="7E1CFE0C">
            <w:pPr>
              <w:spacing w:after="0"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94B03BA">
            <w:pPr>
              <w:spacing w:line="240" w:lineRule="auto"/>
              <w:jc w:val="center"/>
              <w:rPr>
                <w:rFonts w:ascii="Times New Roman" w:hAnsi="Times New Roman" w:cs="Times New Roman"/>
                <w:sz w:val="20"/>
                <w:szCs w:val="20"/>
              </w:rPr>
            </w:pPr>
            <w:r>
              <w:rPr>
                <w:rFonts w:ascii="Times New Roman" w:hAnsi="Times New Roman" w:cs="Times New Roman"/>
                <w:sz w:val="20"/>
                <w:szCs w:val="20"/>
                <w:highlight w:val="yellow"/>
              </w:rPr>
              <w:t>On-go</w:t>
            </w:r>
            <w:r>
              <w:rPr>
                <w:rFonts w:ascii="Times New Roman" w:hAnsi="Times New Roman" w:cs="Times New Roman"/>
                <w:sz w:val="20"/>
                <w:szCs w:val="20"/>
              </w:rPr>
              <w:t>ing</w:t>
            </w:r>
          </w:p>
        </w:tc>
        <w:tc>
          <w:tcPr>
            <w:tcW w:w="990" w:type="dxa"/>
            <w:tcBorders>
              <w:top w:val="single" w:color="auto" w:sz="4" w:space="0"/>
              <w:left w:val="single" w:color="auto" w:sz="4" w:space="0"/>
              <w:bottom w:val="single" w:color="auto" w:sz="4" w:space="0"/>
              <w:right w:val="single" w:color="auto" w:sz="4" w:space="0"/>
            </w:tcBorders>
            <w:vAlign w:val="center"/>
          </w:tcPr>
          <w:p w14:paraId="0DDAC9AB">
            <w:pPr>
              <w:spacing w:after="0" w:line="240" w:lineRule="auto"/>
              <w:jc w:val="center"/>
              <w:rPr>
                <w:rFonts w:ascii="Times New Roman" w:hAnsi="Times New Roman" w:cs="Times New Roman"/>
                <w:sz w:val="20"/>
                <w:szCs w:val="20"/>
                <w:lang w:val="en-GB" w:eastAsia="en-GB"/>
              </w:rPr>
            </w:pPr>
          </w:p>
        </w:tc>
      </w:tr>
      <w:tr w14:paraId="17FC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09157A29">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COOPERATIVES</w:t>
            </w:r>
          </w:p>
        </w:tc>
      </w:tr>
      <w:tr w14:paraId="0288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EE6FC3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E667CA2">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Identify, form, register, and train co-operative societies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CC82498">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2530E1F1">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12,000.00</w:t>
            </w:r>
          </w:p>
        </w:tc>
        <w:tc>
          <w:tcPr>
            <w:tcW w:w="1251" w:type="dxa"/>
            <w:tcBorders>
              <w:top w:val="single" w:color="auto" w:sz="4" w:space="0"/>
              <w:left w:val="single" w:color="auto" w:sz="4" w:space="0"/>
              <w:bottom w:val="single" w:color="auto" w:sz="4" w:space="0"/>
              <w:right w:val="single" w:color="auto" w:sz="4" w:space="0"/>
            </w:tcBorders>
            <w:vAlign w:val="center"/>
          </w:tcPr>
          <w:p w14:paraId="5F58A4CE">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6B74CE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10DFA22">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041B761">
            <w:pPr>
              <w:spacing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2,500.00</w:t>
            </w:r>
          </w:p>
        </w:tc>
        <w:tc>
          <w:tcPr>
            <w:tcW w:w="1276" w:type="dxa"/>
            <w:tcBorders>
              <w:top w:val="single" w:color="auto" w:sz="4" w:space="0"/>
              <w:left w:val="single" w:color="auto" w:sz="4" w:space="0"/>
              <w:bottom w:val="single" w:color="auto" w:sz="4" w:space="0"/>
              <w:right w:val="single" w:color="auto" w:sz="4" w:space="0"/>
            </w:tcBorders>
            <w:vAlign w:val="center"/>
          </w:tcPr>
          <w:p w14:paraId="6424D396">
            <w:pPr>
              <w:spacing w:line="240" w:lineRule="auto"/>
              <w:jc w:val="center"/>
              <w:rPr>
                <w:rFonts w:ascii="Times New Roman" w:hAnsi="Times New Roman" w:cs="Times New Roman"/>
                <w:sz w:val="20"/>
                <w:szCs w:val="20"/>
              </w:rPr>
            </w:pPr>
            <w:r>
              <w:rPr>
                <w:rFonts w:ascii="Times New Roman" w:hAnsi="Times New Roman" w:cs="Times New Roman"/>
                <w:sz w:val="20"/>
                <w:szCs w:val="20"/>
              </w:rPr>
              <w:t>900.00</w:t>
            </w:r>
          </w:p>
        </w:tc>
        <w:tc>
          <w:tcPr>
            <w:tcW w:w="757" w:type="dxa"/>
            <w:tcBorders>
              <w:top w:val="single" w:color="auto" w:sz="4" w:space="0"/>
              <w:left w:val="single" w:color="auto" w:sz="4" w:space="0"/>
              <w:bottom w:val="single" w:color="auto" w:sz="4" w:space="0"/>
              <w:right w:val="single" w:color="auto" w:sz="4" w:space="0"/>
            </w:tcBorders>
            <w:vAlign w:val="center"/>
          </w:tcPr>
          <w:p w14:paraId="73D6090A">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12" w:type="dxa"/>
            <w:tcBorders>
              <w:top w:val="single" w:color="auto" w:sz="4" w:space="0"/>
              <w:left w:val="single" w:color="auto" w:sz="4" w:space="0"/>
              <w:bottom w:val="single" w:color="auto" w:sz="4" w:space="0"/>
              <w:right w:val="single" w:color="auto" w:sz="4" w:space="0"/>
            </w:tcBorders>
            <w:vAlign w:val="center"/>
          </w:tcPr>
          <w:p w14:paraId="7525C5E2">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822325" cy="616585"/>
                  <wp:effectExtent l="0" t="0" r="0" b="0"/>
                  <wp:docPr id="34" name="Picture 34" descr="C:\Users\D\OneDrive\Pictures\1ST QRT PR 2026\WhatsApp Image 2026-05-06 at 15.3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D\OneDrive\Pictures\1ST QRT PR 2026\WhatsApp Image 2026-05-06 at 15.34.3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840991" cy="630546"/>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52555AE">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454C150">
            <w:pPr>
              <w:spacing w:after="0"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Mobility and enough funds needed</w:t>
            </w:r>
          </w:p>
        </w:tc>
      </w:tr>
      <w:tr w14:paraId="1FDF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A7A9CA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CD92763">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Audit Co-operative societies by Dec. 2026</w:t>
            </w:r>
          </w:p>
        </w:tc>
        <w:tc>
          <w:tcPr>
            <w:tcW w:w="1420" w:type="dxa"/>
            <w:tcBorders>
              <w:top w:val="single" w:color="auto" w:sz="4" w:space="0"/>
              <w:left w:val="single" w:color="auto" w:sz="4" w:space="0"/>
              <w:bottom w:val="single" w:color="auto" w:sz="4" w:space="0"/>
              <w:right w:val="single" w:color="auto" w:sz="4" w:space="0"/>
            </w:tcBorders>
            <w:vAlign w:val="center"/>
          </w:tcPr>
          <w:p w14:paraId="21C8D496">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0904D3E">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2AF019B1">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81670CB">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FF1FF40">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1DA1C7B">
            <w:pPr>
              <w:spacing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800.00</w:t>
            </w:r>
          </w:p>
        </w:tc>
        <w:tc>
          <w:tcPr>
            <w:tcW w:w="1276" w:type="dxa"/>
            <w:tcBorders>
              <w:top w:val="single" w:color="auto" w:sz="4" w:space="0"/>
              <w:left w:val="single" w:color="auto" w:sz="4" w:space="0"/>
              <w:bottom w:val="single" w:color="auto" w:sz="4" w:space="0"/>
              <w:right w:val="single" w:color="auto" w:sz="4" w:space="0"/>
            </w:tcBorders>
            <w:vAlign w:val="center"/>
          </w:tcPr>
          <w:p w14:paraId="1783799F">
            <w:pPr>
              <w:spacing w:line="240" w:lineRule="auto"/>
              <w:jc w:val="center"/>
              <w:rPr>
                <w:rFonts w:ascii="Times New Roman" w:hAnsi="Times New Roman" w:cs="Times New Roman"/>
                <w:sz w:val="20"/>
                <w:szCs w:val="20"/>
              </w:rPr>
            </w:pPr>
            <w:r>
              <w:rPr>
                <w:rFonts w:ascii="Times New Roman" w:hAnsi="Times New Roman" w:cs="Times New Roman"/>
                <w:sz w:val="20"/>
                <w:szCs w:val="20"/>
              </w:rPr>
              <w:t>200.00</w:t>
            </w:r>
          </w:p>
        </w:tc>
        <w:tc>
          <w:tcPr>
            <w:tcW w:w="757" w:type="dxa"/>
            <w:tcBorders>
              <w:top w:val="single" w:color="auto" w:sz="4" w:space="0"/>
              <w:left w:val="single" w:color="auto" w:sz="4" w:space="0"/>
              <w:bottom w:val="single" w:color="auto" w:sz="4" w:space="0"/>
              <w:right w:val="single" w:color="auto" w:sz="4" w:space="0"/>
            </w:tcBorders>
            <w:vAlign w:val="center"/>
          </w:tcPr>
          <w:p w14:paraId="29DD818F">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12" w:type="dxa"/>
            <w:tcBorders>
              <w:top w:val="single" w:color="auto" w:sz="4" w:space="0"/>
              <w:left w:val="single" w:color="auto" w:sz="4" w:space="0"/>
              <w:bottom w:val="single" w:color="auto" w:sz="4" w:space="0"/>
              <w:right w:val="single" w:color="auto" w:sz="4" w:space="0"/>
            </w:tcBorders>
            <w:vAlign w:val="center"/>
          </w:tcPr>
          <w:p w14:paraId="31C018A7">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931545" cy="701675"/>
                  <wp:effectExtent l="0" t="0" r="1905"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40298" cy="708241"/>
                          </a:xfrm>
                          <a:prstGeom prst="rect">
                            <a:avLst/>
                          </a:prstGeom>
                          <a:noFill/>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17E8002">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D018F30">
            <w:pPr>
              <w:spacing w:after="0"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Logistics and enough funds needed</w:t>
            </w:r>
          </w:p>
        </w:tc>
      </w:tr>
      <w:tr w14:paraId="1679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97753D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1D8052C">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Monitoring and Evaluation activities for co-operative societies by Dec.2026.</w:t>
            </w:r>
          </w:p>
        </w:tc>
        <w:tc>
          <w:tcPr>
            <w:tcW w:w="1420" w:type="dxa"/>
            <w:tcBorders>
              <w:top w:val="single" w:color="auto" w:sz="4" w:space="0"/>
              <w:left w:val="single" w:color="auto" w:sz="4" w:space="0"/>
              <w:bottom w:val="single" w:color="auto" w:sz="4" w:space="0"/>
              <w:right w:val="single" w:color="auto" w:sz="4" w:space="0"/>
            </w:tcBorders>
            <w:vAlign w:val="center"/>
          </w:tcPr>
          <w:p w14:paraId="574B26F3">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79221A6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2C5D033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7514E9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540C920">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170BB66">
            <w:pPr>
              <w:spacing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900.00</w:t>
            </w:r>
          </w:p>
        </w:tc>
        <w:tc>
          <w:tcPr>
            <w:tcW w:w="1276" w:type="dxa"/>
            <w:tcBorders>
              <w:top w:val="single" w:color="auto" w:sz="4" w:space="0"/>
              <w:left w:val="single" w:color="auto" w:sz="4" w:space="0"/>
              <w:bottom w:val="single" w:color="auto" w:sz="4" w:space="0"/>
              <w:right w:val="single" w:color="auto" w:sz="4" w:space="0"/>
            </w:tcBorders>
            <w:vAlign w:val="center"/>
          </w:tcPr>
          <w:p w14:paraId="4CD20BAD">
            <w:pPr>
              <w:spacing w:line="240" w:lineRule="auto"/>
              <w:jc w:val="center"/>
              <w:rPr>
                <w:rFonts w:ascii="Times New Roman" w:hAnsi="Times New Roman" w:cs="Times New Roman"/>
                <w:sz w:val="20"/>
                <w:szCs w:val="20"/>
              </w:rPr>
            </w:pPr>
            <w:r>
              <w:rPr>
                <w:rFonts w:ascii="Times New Roman" w:hAnsi="Times New Roman" w:cs="Times New Roman"/>
                <w:sz w:val="20"/>
                <w:szCs w:val="20"/>
              </w:rPr>
              <w:t>400.00</w:t>
            </w:r>
          </w:p>
        </w:tc>
        <w:tc>
          <w:tcPr>
            <w:tcW w:w="757" w:type="dxa"/>
            <w:tcBorders>
              <w:top w:val="single" w:color="auto" w:sz="4" w:space="0"/>
              <w:left w:val="single" w:color="auto" w:sz="4" w:space="0"/>
              <w:bottom w:val="single" w:color="auto" w:sz="4" w:space="0"/>
              <w:right w:val="single" w:color="auto" w:sz="4" w:space="0"/>
            </w:tcBorders>
            <w:vAlign w:val="center"/>
          </w:tcPr>
          <w:p w14:paraId="3116BA99">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12" w:type="dxa"/>
            <w:tcBorders>
              <w:top w:val="single" w:color="auto" w:sz="4" w:space="0"/>
              <w:left w:val="single" w:color="auto" w:sz="4" w:space="0"/>
              <w:bottom w:val="single" w:color="auto" w:sz="4" w:space="0"/>
              <w:right w:val="single" w:color="auto" w:sz="4" w:space="0"/>
            </w:tcBorders>
            <w:vAlign w:val="center"/>
          </w:tcPr>
          <w:p w14:paraId="500155C0">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931545" cy="744220"/>
                  <wp:effectExtent l="0" t="0" r="1905" b="0"/>
                  <wp:docPr id="37" name="Picture 37" descr="C:\Users\D\OneDrive\Pictures\1ST QRT PR 2026\WhatsApp Image 2026-05-06 at 15.2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Users\D\OneDrive\Pictures\1ST QRT PR 2026\WhatsApp Image 2026-05-06 at 15.23.37.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964082" cy="770275"/>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E437C3E">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E023A07">
            <w:pPr>
              <w:spacing w:after="0"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Stationaries, Logistics and enough funds needed</w:t>
            </w:r>
          </w:p>
        </w:tc>
      </w:tr>
      <w:tr w14:paraId="5705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B1F8AC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41C3F93">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Annual General meeting and Election for co-operative Societies and unions by Dec.2026</w:t>
            </w:r>
          </w:p>
        </w:tc>
        <w:tc>
          <w:tcPr>
            <w:tcW w:w="1420" w:type="dxa"/>
            <w:tcBorders>
              <w:top w:val="single" w:color="auto" w:sz="4" w:space="0"/>
              <w:left w:val="single" w:color="auto" w:sz="4" w:space="0"/>
              <w:bottom w:val="single" w:color="auto" w:sz="4" w:space="0"/>
              <w:right w:val="single" w:color="auto" w:sz="4" w:space="0"/>
            </w:tcBorders>
            <w:vAlign w:val="center"/>
          </w:tcPr>
          <w:p w14:paraId="0ABFBC3A">
            <w:pPr>
              <w:spacing w:line="240" w:lineRule="auto"/>
              <w:rPr>
                <w:rFonts w:ascii="Times New Roman" w:hAnsi="Times New Roman" w:cs="Times New Roman"/>
                <w:sz w:val="20"/>
                <w:szCs w:val="20"/>
              </w:rPr>
            </w:pPr>
            <w:r>
              <w:rPr>
                <w:rFonts w:ascii="Times New Roman" w:hAnsi="Times New Roman" w:cs="Times New Roman"/>
                <w:sz w:val="20"/>
                <w:szCs w:val="20"/>
              </w:rPr>
              <w:t>Economic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78A4BE08">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631B254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2370FB44">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0643293">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EF50732">
            <w:pPr>
              <w:spacing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1,200.00</w:t>
            </w:r>
          </w:p>
        </w:tc>
        <w:tc>
          <w:tcPr>
            <w:tcW w:w="1276" w:type="dxa"/>
            <w:tcBorders>
              <w:top w:val="single" w:color="auto" w:sz="4" w:space="0"/>
              <w:left w:val="single" w:color="auto" w:sz="4" w:space="0"/>
              <w:bottom w:val="single" w:color="auto" w:sz="4" w:space="0"/>
              <w:right w:val="single" w:color="auto" w:sz="4" w:space="0"/>
            </w:tcBorders>
            <w:vAlign w:val="center"/>
          </w:tcPr>
          <w:p w14:paraId="7921E22D">
            <w:pPr>
              <w:spacing w:line="240" w:lineRule="auto"/>
              <w:jc w:val="center"/>
              <w:rPr>
                <w:rFonts w:ascii="Times New Roman" w:hAnsi="Times New Roman" w:cs="Times New Roman"/>
                <w:sz w:val="20"/>
                <w:szCs w:val="20"/>
              </w:rPr>
            </w:pPr>
            <w:r>
              <w:rPr>
                <w:rFonts w:ascii="Times New Roman" w:hAnsi="Times New Roman" w:cs="Times New Roman"/>
                <w:sz w:val="20"/>
                <w:szCs w:val="20"/>
              </w:rPr>
              <w:t>1,000.00</w:t>
            </w:r>
          </w:p>
        </w:tc>
        <w:tc>
          <w:tcPr>
            <w:tcW w:w="757" w:type="dxa"/>
            <w:tcBorders>
              <w:top w:val="single" w:color="auto" w:sz="4" w:space="0"/>
              <w:left w:val="single" w:color="auto" w:sz="4" w:space="0"/>
              <w:bottom w:val="single" w:color="auto" w:sz="4" w:space="0"/>
              <w:right w:val="single" w:color="auto" w:sz="4" w:space="0"/>
            </w:tcBorders>
            <w:vAlign w:val="center"/>
          </w:tcPr>
          <w:p w14:paraId="23EED07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BBFF8F0">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807720" cy="765175"/>
                  <wp:effectExtent l="0" t="0" r="0" b="0"/>
                  <wp:docPr id="38" name="Picture 38" descr="C:\Users\D\OneDrive\Pictures\1ST QRT PR 2026\WhatsApp Image 2026-02-20 at 15.5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Users\D\OneDrive\Pictures\1ST QRT PR 2026\WhatsApp Image 2026-02-20 at 15.56.3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853903" cy="809035"/>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2EBDE043">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5513259">
            <w:pPr>
              <w:spacing w:after="0"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Stationaries, Logistics and enough funds needed</w:t>
            </w:r>
          </w:p>
        </w:tc>
      </w:tr>
      <w:tr w14:paraId="76FE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00D49904">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EDUCATION</w:t>
            </w:r>
          </w:p>
        </w:tc>
      </w:tr>
      <w:tr w14:paraId="3129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D53406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DDBB378">
            <w:pPr>
              <w:spacing w:line="240" w:lineRule="auto"/>
              <w:jc w:val="both"/>
              <w:rPr>
                <w:rFonts w:ascii="Times New Roman" w:hAnsi="Times New Roman" w:cs="Times New Roman"/>
                <w:sz w:val="20"/>
                <w:szCs w:val="20"/>
              </w:rPr>
            </w:pPr>
            <w:r>
              <w:rPr>
                <w:rFonts w:ascii="Times New Roman" w:hAnsi="Times New Roman" w:eastAsia="Calibri" w:cs="Times New Roman"/>
                <w:sz w:val="20"/>
                <w:szCs w:val="20"/>
              </w:rPr>
              <w:t>Organize School, Circuit, Zonal &amp; Regional Sporting and Cultural Festivals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080F7EF">
            <w:pPr>
              <w:spacing w:after="0" w:line="240" w:lineRule="auto"/>
              <w:jc w:val="both"/>
              <w:rPr>
                <w:rFonts w:ascii="Times New Roman" w:hAnsi="Times New Roman" w:eastAsia="Calibri"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0EB450B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368820A4">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F590FF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6C64F2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0D7252A">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85,000.00</w:t>
            </w:r>
          </w:p>
        </w:tc>
        <w:tc>
          <w:tcPr>
            <w:tcW w:w="1276" w:type="dxa"/>
            <w:tcBorders>
              <w:top w:val="single" w:color="auto" w:sz="4" w:space="0"/>
              <w:left w:val="single" w:color="auto" w:sz="4" w:space="0"/>
              <w:bottom w:val="single" w:color="auto" w:sz="4" w:space="0"/>
              <w:right w:val="single" w:color="auto" w:sz="4" w:space="0"/>
            </w:tcBorders>
            <w:vAlign w:val="center"/>
          </w:tcPr>
          <w:p w14:paraId="08B9BD96">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7,000.00</w:t>
            </w:r>
          </w:p>
        </w:tc>
        <w:tc>
          <w:tcPr>
            <w:tcW w:w="757" w:type="dxa"/>
            <w:tcBorders>
              <w:top w:val="single" w:color="auto" w:sz="4" w:space="0"/>
              <w:left w:val="single" w:color="auto" w:sz="4" w:space="0"/>
              <w:bottom w:val="single" w:color="auto" w:sz="4" w:space="0"/>
              <w:right w:val="single" w:color="auto" w:sz="4" w:space="0"/>
            </w:tcBorders>
            <w:vAlign w:val="center"/>
          </w:tcPr>
          <w:p w14:paraId="58AAEABF">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w:t>
            </w:r>
          </w:p>
        </w:tc>
        <w:tc>
          <w:tcPr>
            <w:tcW w:w="1212" w:type="dxa"/>
            <w:tcBorders>
              <w:top w:val="single" w:color="auto" w:sz="4" w:space="0"/>
              <w:left w:val="single" w:color="auto" w:sz="4" w:space="0"/>
              <w:bottom w:val="single" w:color="auto" w:sz="4" w:space="0"/>
              <w:right w:val="single" w:color="auto" w:sz="4" w:space="0"/>
            </w:tcBorders>
            <w:vAlign w:val="center"/>
          </w:tcPr>
          <w:p w14:paraId="2FFC97A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952500" cy="965200"/>
                  <wp:effectExtent l="0" t="0" r="0" b="6350"/>
                  <wp:docPr id="15" name="Picture 15" descr="D:\STEM\sports ken3.jpg"/>
                  <wp:cNvGraphicFramePr/>
                  <a:graphic xmlns:a="http://schemas.openxmlformats.org/drawingml/2006/main">
                    <a:graphicData uri="http://schemas.openxmlformats.org/drawingml/2006/picture">
                      <pic:pic xmlns:pic="http://schemas.openxmlformats.org/drawingml/2006/picture">
                        <pic:nvPicPr>
                          <pic:cNvPr id="15" name="Picture 15" descr="D:\STEM\sports ken3.jpg"/>
                          <pic:cNvPicPr/>
                        </pic:nvPicPr>
                        <pic:blipFill>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952500" cy="965200"/>
                          </a:xfrm>
                          <a:prstGeom prst="rect">
                            <a:avLst/>
                          </a:prstGeom>
                          <a:noFill/>
                          <a:ln>
                            <a:noFill/>
                          </a:ln>
                        </pic:spPr>
                      </pic:pic>
                    </a:graphicData>
                  </a:graphic>
                </wp:inline>
              </w:drawing>
            </w:r>
            <w:r>
              <w:rPr>
                <w:rFonts w:ascii="Times New Roman" w:hAnsi="Times New Roman" w:cs="Times New Roman"/>
                <w:sz w:val="20"/>
                <w:szCs w:val="20"/>
              </w:rPr>
              <w:drawing>
                <wp:inline distT="0" distB="0" distL="0" distR="0">
                  <wp:extent cx="892810" cy="839470"/>
                  <wp:effectExtent l="0" t="0" r="2540" b="0"/>
                  <wp:docPr id="6" name="Picture 6" descr="D:\STEM\culture Afosu DA3.jpg"/>
                  <wp:cNvGraphicFramePr/>
                  <a:graphic xmlns:a="http://schemas.openxmlformats.org/drawingml/2006/main">
                    <a:graphicData uri="http://schemas.openxmlformats.org/drawingml/2006/picture">
                      <pic:pic xmlns:pic="http://schemas.openxmlformats.org/drawingml/2006/picture">
                        <pic:nvPicPr>
                          <pic:cNvPr id="6" name="Picture 6" descr="D:\STEM\culture Afosu DA3.jpg"/>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941186" cy="885485"/>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851A0BB">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3E8FE3FA">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During the period under review, the district participated in ‘U 13’ Zonal sports festival at Mpraeso and placed 3</w:t>
            </w:r>
            <w:r>
              <w:rPr>
                <w:rFonts w:ascii="Times New Roman" w:hAnsi="Times New Roman" w:cs="Times New Roman"/>
                <w:sz w:val="20"/>
                <w:szCs w:val="20"/>
                <w:vertAlign w:val="superscript"/>
                <w:lang w:val="en-GB" w:eastAsia="en-GB"/>
              </w:rPr>
              <w:t>rd</w:t>
            </w:r>
            <w:r>
              <w:rPr>
                <w:rFonts w:ascii="Times New Roman" w:hAnsi="Times New Roman" w:cs="Times New Roman"/>
                <w:sz w:val="20"/>
                <w:szCs w:val="20"/>
                <w:lang w:val="en-GB" w:eastAsia="en-GB"/>
              </w:rPr>
              <w:t xml:space="preserve"> in the zone.  </w:t>
            </w:r>
          </w:p>
        </w:tc>
      </w:tr>
      <w:tr w14:paraId="3568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76817E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F69AF3D">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Celebrate Menstrual Hygiene &amp; International Girls' Day by Dec. 2026.</w:t>
            </w:r>
          </w:p>
        </w:tc>
        <w:tc>
          <w:tcPr>
            <w:tcW w:w="1420" w:type="dxa"/>
            <w:tcBorders>
              <w:top w:val="single" w:color="auto" w:sz="4" w:space="0"/>
              <w:left w:val="single" w:color="auto" w:sz="4" w:space="0"/>
              <w:bottom w:val="single" w:color="auto" w:sz="4" w:space="0"/>
              <w:right w:val="single" w:color="auto" w:sz="4" w:space="0"/>
            </w:tcBorders>
            <w:vAlign w:val="center"/>
          </w:tcPr>
          <w:p w14:paraId="7474AB72">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AE23105">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127F695B">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CF9880C">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BE512D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E10C42F">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17,000.00</w:t>
            </w:r>
          </w:p>
        </w:tc>
        <w:tc>
          <w:tcPr>
            <w:tcW w:w="1276" w:type="dxa"/>
            <w:tcBorders>
              <w:top w:val="single" w:color="auto" w:sz="4" w:space="0"/>
              <w:left w:val="single" w:color="auto" w:sz="4" w:space="0"/>
              <w:bottom w:val="single" w:color="auto" w:sz="4" w:space="0"/>
              <w:right w:val="single" w:color="auto" w:sz="4" w:space="0"/>
            </w:tcBorders>
            <w:vAlign w:val="center"/>
          </w:tcPr>
          <w:p w14:paraId="5442FF23">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942C72B">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01DF9437">
            <w:pPr>
              <w:spacing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945C26A">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Yet-to-start</w:t>
            </w:r>
          </w:p>
        </w:tc>
        <w:tc>
          <w:tcPr>
            <w:tcW w:w="990" w:type="dxa"/>
            <w:tcBorders>
              <w:top w:val="single" w:color="auto" w:sz="4" w:space="0"/>
              <w:left w:val="single" w:color="auto" w:sz="4" w:space="0"/>
              <w:bottom w:val="single" w:color="auto" w:sz="4" w:space="0"/>
              <w:right w:val="single" w:color="auto" w:sz="4" w:space="0"/>
            </w:tcBorders>
            <w:vAlign w:val="center"/>
          </w:tcPr>
          <w:p w14:paraId="044064CF">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D/A sponsorship is eagerly expected</w:t>
            </w:r>
          </w:p>
        </w:tc>
      </w:tr>
      <w:tr w14:paraId="62FD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3C0DA42">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8820D7D">
            <w:pPr>
              <w:spacing w:line="240" w:lineRule="auto"/>
              <w:rPr>
                <w:rFonts w:ascii="Times New Roman" w:hAnsi="Times New Roman" w:cs="Times New Roman"/>
                <w:sz w:val="20"/>
                <w:szCs w:val="20"/>
              </w:rPr>
            </w:pPr>
            <w:r>
              <w:rPr>
                <w:rFonts w:ascii="Times New Roman" w:hAnsi="Times New Roman" w:cs="Times New Roman"/>
                <w:sz w:val="20"/>
                <w:szCs w:val="20"/>
              </w:rPr>
              <w:t>Organise Sensitization / Community Engagement  on risks associated with substance use for adolescent age group and general population, establish adolescent clubs in schools, educate youth on clinical health on sexually transmitted disease and the promotion of condom use, promote malaria prevention and home gardening in school, provide counselling for adolescent boys and girls on domestic violence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04C4376">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48C4D18B">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41A7ACDE">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89FA5A7">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FA2CBCF">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371C3BB">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12,600.00</w:t>
            </w:r>
          </w:p>
        </w:tc>
        <w:tc>
          <w:tcPr>
            <w:tcW w:w="1276" w:type="dxa"/>
            <w:tcBorders>
              <w:top w:val="single" w:color="auto" w:sz="4" w:space="0"/>
              <w:left w:val="single" w:color="auto" w:sz="4" w:space="0"/>
              <w:bottom w:val="single" w:color="auto" w:sz="4" w:space="0"/>
              <w:right w:val="single" w:color="auto" w:sz="4" w:space="0"/>
            </w:tcBorders>
            <w:vAlign w:val="center"/>
          </w:tcPr>
          <w:p w14:paraId="5E6E9667">
            <w:pPr>
              <w:spacing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6,000.00</w:t>
            </w:r>
          </w:p>
        </w:tc>
        <w:tc>
          <w:tcPr>
            <w:tcW w:w="757" w:type="dxa"/>
            <w:tcBorders>
              <w:top w:val="single" w:color="auto" w:sz="4" w:space="0"/>
              <w:left w:val="single" w:color="auto" w:sz="4" w:space="0"/>
              <w:bottom w:val="single" w:color="auto" w:sz="4" w:space="0"/>
              <w:right w:val="single" w:color="auto" w:sz="4" w:space="0"/>
            </w:tcBorders>
            <w:vAlign w:val="center"/>
          </w:tcPr>
          <w:p w14:paraId="538CD378">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w:t>
            </w:r>
          </w:p>
        </w:tc>
        <w:tc>
          <w:tcPr>
            <w:tcW w:w="1212" w:type="dxa"/>
            <w:tcBorders>
              <w:top w:val="single" w:color="auto" w:sz="4" w:space="0"/>
              <w:left w:val="single" w:color="auto" w:sz="4" w:space="0"/>
              <w:bottom w:val="single" w:color="auto" w:sz="4" w:space="0"/>
              <w:right w:val="single" w:color="auto" w:sz="4" w:space="0"/>
            </w:tcBorders>
            <w:vAlign w:val="center"/>
          </w:tcPr>
          <w:p w14:paraId="5C998B91">
            <w:pPr>
              <w:spacing w:line="240" w:lineRule="auto"/>
              <w:jc w:val="center"/>
              <w:rPr>
                <w:rFonts w:ascii="Times New Roman" w:hAnsi="Times New Roman" w:cs="Times New Roman"/>
                <w:sz w:val="20"/>
                <w:szCs w:val="20"/>
                <w:lang w:val="en-GB" w:eastAsia="en-GB"/>
              </w:rPr>
            </w:pPr>
          </w:p>
          <w:p w14:paraId="098C25E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1524000" cy="990600"/>
                  <wp:effectExtent l="0" t="0" r="0" b="0"/>
                  <wp:docPr id="39" name="Picture 39" descr="D:\STEM\Screenshot 2026-04-27 131850.png"/>
                  <wp:cNvGraphicFramePr/>
                  <a:graphic xmlns:a="http://schemas.openxmlformats.org/drawingml/2006/main">
                    <a:graphicData uri="http://schemas.openxmlformats.org/drawingml/2006/picture">
                      <pic:pic xmlns:pic="http://schemas.openxmlformats.org/drawingml/2006/picture">
                        <pic:nvPicPr>
                          <pic:cNvPr id="39" name="Picture 39" descr="D:\STEM\Screenshot 2026-04-27 131850.png"/>
                          <pic:cNvPicPr/>
                        </pic:nvPicPr>
                        <pic:blipFill>
                          <a:blip r:embed="rId25" cstate="print">
                            <a:extLst>
                              <a:ext uri="{BEBA8EAE-BF5A-486C-A8C5-ECC9F3942E4B}">
                                <a14:imgProps xmlns:a14="http://schemas.microsoft.com/office/drawing/2010/main">
                                  <a14:imgLayer r:embed="rId2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1524000" cy="990600"/>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1D441873">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p w14:paraId="1003AA41">
            <w:pPr>
              <w:spacing w:line="240" w:lineRule="auto"/>
              <w:jc w:val="center"/>
              <w:rPr>
                <w:rFonts w:ascii="Times New Roman" w:hAnsi="Times New Roman" w:cs="Times New Roman"/>
                <w:sz w:val="20"/>
                <w:szCs w:val="20"/>
                <w:lang w:val="en-GB" w:eastAsia="en-GB"/>
              </w:rPr>
            </w:pPr>
          </w:p>
          <w:p w14:paraId="62772103">
            <w:pPr>
              <w:spacing w:line="240" w:lineRule="auto"/>
              <w:jc w:val="center"/>
              <w:rPr>
                <w:rFonts w:ascii="Times New Roman" w:hAnsi="Times New Roman" w:cs="Times New Roman"/>
                <w:sz w:val="20"/>
                <w:szCs w:val="20"/>
                <w:lang w:val="en-GB" w:eastAsia="en-GB"/>
              </w:rPr>
            </w:pPr>
          </w:p>
          <w:p w14:paraId="4BA2F094">
            <w:pPr>
              <w:spacing w:line="240" w:lineRule="auto"/>
              <w:jc w:val="center"/>
              <w:rPr>
                <w:rFonts w:ascii="Times New Roman" w:hAnsi="Times New Roman" w:cs="Times New Roman"/>
                <w:sz w:val="20"/>
                <w:szCs w:val="20"/>
                <w:lang w:val="en-GB" w:eastAsia="en-GB"/>
              </w:rPr>
            </w:pPr>
          </w:p>
          <w:p w14:paraId="6964B733">
            <w:pPr>
              <w:spacing w:line="240" w:lineRule="auto"/>
              <w:jc w:val="center"/>
              <w:rPr>
                <w:rFonts w:ascii="Times New Roman" w:hAnsi="Times New Roman" w:cs="Times New Roman"/>
                <w:sz w:val="20"/>
                <w:szCs w:val="20"/>
                <w:lang w:val="en-GB" w:eastAsia="en-GB"/>
              </w:rPr>
            </w:pPr>
          </w:p>
          <w:p w14:paraId="6095C0F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6C17AAB9">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 xml:space="preserve">The activity is part of all Schedule Officers duty thus 30+ school/communities have benefited from such engagements. </w:t>
            </w:r>
          </w:p>
        </w:tc>
      </w:tr>
      <w:tr w14:paraId="28CB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1F876F2">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3F7DE29">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‘My First Day at School'.</w:t>
            </w:r>
          </w:p>
        </w:tc>
        <w:tc>
          <w:tcPr>
            <w:tcW w:w="1420" w:type="dxa"/>
            <w:tcBorders>
              <w:top w:val="single" w:color="auto" w:sz="4" w:space="0"/>
              <w:left w:val="single" w:color="auto" w:sz="4" w:space="0"/>
              <w:bottom w:val="single" w:color="auto" w:sz="4" w:space="0"/>
              <w:right w:val="single" w:color="auto" w:sz="4" w:space="0"/>
            </w:tcBorders>
            <w:vAlign w:val="center"/>
          </w:tcPr>
          <w:p w14:paraId="77127FDE">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1BC05199">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3C072E6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A8CEF40">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BC35A6C">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070919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30,000.00</w:t>
            </w:r>
          </w:p>
        </w:tc>
        <w:tc>
          <w:tcPr>
            <w:tcW w:w="1276" w:type="dxa"/>
            <w:tcBorders>
              <w:top w:val="single" w:color="auto" w:sz="4" w:space="0"/>
              <w:left w:val="single" w:color="auto" w:sz="4" w:space="0"/>
              <w:bottom w:val="single" w:color="auto" w:sz="4" w:space="0"/>
              <w:right w:val="single" w:color="auto" w:sz="4" w:space="0"/>
            </w:tcBorders>
            <w:vAlign w:val="center"/>
          </w:tcPr>
          <w:p w14:paraId="598D2138">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6404E5E">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3C0B2AA4">
            <w:pPr>
              <w:spacing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36F9BCA">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BB84F6D">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 xml:space="preserve">This programme has not been implemented for the past four years. </w:t>
            </w:r>
          </w:p>
        </w:tc>
      </w:tr>
      <w:tr w14:paraId="7705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17E2B9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05A2760">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Conduct SPAMs and Annual District Education Reviews.</w:t>
            </w:r>
          </w:p>
        </w:tc>
        <w:tc>
          <w:tcPr>
            <w:tcW w:w="1420" w:type="dxa"/>
            <w:tcBorders>
              <w:top w:val="single" w:color="auto" w:sz="4" w:space="0"/>
              <w:left w:val="single" w:color="auto" w:sz="4" w:space="0"/>
              <w:bottom w:val="single" w:color="auto" w:sz="4" w:space="0"/>
              <w:right w:val="single" w:color="auto" w:sz="4" w:space="0"/>
            </w:tcBorders>
            <w:vAlign w:val="center"/>
          </w:tcPr>
          <w:p w14:paraId="2DA57594">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F9C713A">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3,000.00</w:t>
            </w:r>
          </w:p>
        </w:tc>
        <w:tc>
          <w:tcPr>
            <w:tcW w:w="1251" w:type="dxa"/>
            <w:tcBorders>
              <w:top w:val="single" w:color="auto" w:sz="4" w:space="0"/>
              <w:left w:val="single" w:color="auto" w:sz="4" w:space="0"/>
              <w:bottom w:val="single" w:color="auto" w:sz="4" w:space="0"/>
              <w:right w:val="single" w:color="auto" w:sz="4" w:space="0"/>
            </w:tcBorders>
            <w:vAlign w:val="center"/>
          </w:tcPr>
          <w:p w14:paraId="6FB09C54">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56A2FAF">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5B43F71">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EF296FC">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12,600.00</w:t>
            </w:r>
          </w:p>
        </w:tc>
        <w:tc>
          <w:tcPr>
            <w:tcW w:w="1276" w:type="dxa"/>
            <w:tcBorders>
              <w:top w:val="single" w:color="auto" w:sz="4" w:space="0"/>
              <w:left w:val="single" w:color="auto" w:sz="4" w:space="0"/>
              <w:bottom w:val="single" w:color="auto" w:sz="4" w:space="0"/>
              <w:right w:val="single" w:color="auto" w:sz="4" w:space="0"/>
            </w:tcBorders>
            <w:vAlign w:val="center"/>
          </w:tcPr>
          <w:p w14:paraId="1B971F96">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8,000.00</w:t>
            </w:r>
          </w:p>
        </w:tc>
        <w:tc>
          <w:tcPr>
            <w:tcW w:w="757" w:type="dxa"/>
            <w:tcBorders>
              <w:top w:val="single" w:color="auto" w:sz="4" w:space="0"/>
              <w:left w:val="single" w:color="auto" w:sz="4" w:space="0"/>
              <w:bottom w:val="single" w:color="auto" w:sz="4" w:space="0"/>
              <w:right w:val="single" w:color="auto" w:sz="4" w:space="0"/>
            </w:tcBorders>
            <w:vAlign w:val="center"/>
          </w:tcPr>
          <w:p w14:paraId="0FA36F66">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80%</w:t>
            </w:r>
          </w:p>
        </w:tc>
        <w:tc>
          <w:tcPr>
            <w:tcW w:w="1212" w:type="dxa"/>
            <w:tcBorders>
              <w:top w:val="single" w:color="auto" w:sz="4" w:space="0"/>
              <w:left w:val="single" w:color="auto" w:sz="4" w:space="0"/>
              <w:bottom w:val="single" w:color="auto" w:sz="4" w:space="0"/>
              <w:right w:val="single" w:color="auto" w:sz="4" w:space="0"/>
            </w:tcBorders>
            <w:vAlign w:val="center"/>
          </w:tcPr>
          <w:p w14:paraId="0BF54E7C">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683260" cy="1144905"/>
                  <wp:effectExtent l="0" t="0" r="254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7373" cy="1151879"/>
                          </a:xfrm>
                          <a:prstGeom prst="rect">
                            <a:avLst/>
                          </a:prstGeom>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CD0A7E3">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BC59C2F">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School &amp; Community levels SPAMs are frequently organize</w:t>
            </w:r>
          </w:p>
        </w:tc>
      </w:tr>
      <w:tr w14:paraId="3942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ECE2D9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6B6CD4C">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Official Celebration (Independence Day)</w:t>
            </w:r>
          </w:p>
        </w:tc>
        <w:tc>
          <w:tcPr>
            <w:tcW w:w="1420" w:type="dxa"/>
            <w:tcBorders>
              <w:top w:val="single" w:color="auto" w:sz="4" w:space="0"/>
              <w:left w:val="single" w:color="auto" w:sz="4" w:space="0"/>
              <w:bottom w:val="single" w:color="auto" w:sz="4" w:space="0"/>
              <w:right w:val="single" w:color="auto" w:sz="4" w:space="0"/>
            </w:tcBorders>
            <w:vAlign w:val="center"/>
          </w:tcPr>
          <w:p w14:paraId="1DEEAA3D">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6805A087">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3AEC47FD">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59292CC">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3166670">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D64B7B7">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50,000.00</w:t>
            </w:r>
          </w:p>
        </w:tc>
        <w:tc>
          <w:tcPr>
            <w:tcW w:w="1276" w:type="dxa"/>
            <w:tcBorders>
              <w:top w:val="single" w:color="auto" w:sz="4" w:space="0"/>
              <w:left w:val="single" w:color="auto" w:sz="4" w:space="0"/>
              <w:bottom w:val="single" w:color="auto" w:sz="4" w:space="0"/>
              <w:right w:val="single" w:color="auto" w:sz="4" w:space="0"/>
            </w:tcBorders>
            <w:vAlign w:val="center"/>
          </w:tcPr>
          <w:p w14:paraId="1BE8F04D">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50,000.00</w:t>
            </w:r>
          </w:p>
        </w:tc>
        <w:tc>
          <w:tcPr>
            <w:tcW w:w="757" w:type="dxa"/>
            <w:tcBorders>
              <w:top w:val="single" w:color="auto" w:sz="4" w:space="0"/>
              <w:left w:val="single" w:color="auto" w:sz="4" w:space="0"/>
              <w:bottom w:val="single" w:color="auto" w:sz="4" w:space="0"/>
              <w:right w:val="single" w:color="auto" w:sz="4" w:space="0"/>
            </w:tcBorders>
            <w:vAlign w:val="center"/>
          </w:tcPr>
          <w:p w14:paraId="52578786">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w:t>
            </w:r>
          </w:p>
        </w:tc>
        <w:tc>
          <w:tcPr>
            <w:tcW w:w="1212" w:type="dxa"/>
            <w:tcBorders>
              <w:top w:val="single" w:color="auto" w:sz="4" w:space="0"/>
              <w:left w:val="single" w:color="auto" w:sz="4" w:space="0"/>
              <w:bottom w:val="single" w:color="auto" w:sz="4" w:space="0"/>
              <w:right w:val="single" w:color="auto" w:sz="4" w:space="0"/>
            </w:tcBorders>
            <w:vAlign w:val="center"/>
          </w:tcPr>
          <w:p w14:paraId="02F6F973">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683260" cy="7493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688055" cy="753950"/>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00B050"/>
            <w:vAlign w:val="center"/>
          </w:tcPr>
          <w:p w14:paraId="57CC551E">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Completed</w:t>
            </w:r>
          </w:p>
        </w:tc>
        <w:tc>
          <w:tcPr>
            <w:tcW w:w="990" w:type="dxa"/>
            <w:tcBorders>
              <w:top w:val="single" w:color="auto" w:sz="4" w:space="0"/>
              <w:left w:val="single" w:color="auto" w:sz="4" w:space="0"/>
              <w:bottom w:val="single" w:color="auto" w:sz="4" w:space="0"/>
              <w:right w:val="single" w:color="auto" w:sz="4" w:space="0"/>
            </w:tcBorders>
            <w:vAlign w:val="center"/>
          </w:tcPr>
          <w:p w14:paraId="54EA3D69">
            <w:pPr>
              <w:spacing w:line="240" w:lineRule="auto"/>
              <w:jc w:val="both"/>
              <w:rPr>
                <w:rFonts w:ascii="Times New Roman" w:hAnsi="Times New Roman" w:cs="Times New Roman"/>
                <w:sz w:val="20"/>
                <w:szCs w:val="20"/>
                <w:lang w:val="en-GB" w:eastAsia="en-GB"/>
              </w:rPr>
            </w:pPr>
          </w:p>
        </w:tc>
      </w:tr>
      <w:tr w14:paraId="0B74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24C283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EAF5AA9">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Conduct 'Drop in the Bin' initiative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835E454">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068549AE">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42683F8C">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45AC590">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959E7C7">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91D7531">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4,200.00</w:t>
            </w:r>
          </w:p>
        </w:tc>
        <w:tc>
          <w:tcPr>
            <w:tcW w:w="1276" w:type="dxa"/>
            <w:tcBorders>
              <w:top w:val="single" w:color="auto" w:sz="4" w:space="0"/>
              <w:left w:val="single" w:color="auto" w:sz="4" w:space="0"/>
              <w:bottom w:val="single" w:color="auto" w:sz="4" w:space="0"/>
              <w:right w:val="single" w:color="auto" w:sz="4" w:space="0"/>
            </w:tcBorders>
            <w:vAlign w:val="center"/>
          </w:tcPr>
          <w:p w14:paraId="6A259F9B">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2,000.00</w:t>
            </w:r>
          </w:p>
        </w:tc>
        <w:tc>
          <w:tcPr>
            <w:tcW w:w="757" w:type="dxa"/>
            <w:tcBorders>
              <w:top w:val="single" w:color="auto" w:sz="4" w:space="0"/>
              <w:left w:val="single" w:color="auto" w:sz="4" w:space="0"/>
              <w:bottom w:val="single" w:color="auto" w:sz="4" w:space="0"/>
              <w:right w:val="single" w:color="auto" w:sz="4" w:space="0"/>
            </w:tcBorders>
            <w:vAlign w:val="center"/>
          </w:tcPr>
          <w:p w14:paraId="4068F019">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w:t>
            </w:r>
          </w:p>
        </w:tc>
        <w:tc>
          <w:tcPr>
            <w:tcW w:w="1212" w:type="dxa"/>
            <w:tcBorders>
              <w:top w:val="single" w:color="auto" w:sz="4" w:space="0"/>
              <w:left w:val="single" w:color="auto" w:sz="4" w:space="0"/>
              <w:bottom w:val="single" w:color="auto" w:sz="4" w:space="0"/>
              <w:right w:val="single" w:color="auto" w:sz="4" w:space="0"/>
            </w:tcBorders>
            <w:vAlign w:val="center"/>
          </w:tcPr>
          <w:p w14:paraId="14CFD36A">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683260" cy="800100"/>
                  <wp:effectExtent l="0" t="0" r="2540" b="0"/>
                  <wp:docPr id="12" name="Picture 12" descr="D:\STEM\AVTI 4.png"/>
                  <wp:cNvGraphicFramePr/>
                  <a:graphic xmlns:a="http://schemas.openxmlformats.org/drawingml/2006/main">
                    <a:graphicData uri="http://schemas.openxmlformats.org/drawingml/2006/picture">
                      <pic:pic xmlns:pic="http://schemas.openxmlformats.org/drawingml/2006/picture">
                        <pic:nvPicPr>
                          <pic:cNvPr id="12" name="Picture 12" descr="D:\STEM\AVTI 4.png"/>
                          <pic:cNvPicPr/>
                        </pic:nvPicPr>
                        <pic:blipFill>
                          <a:blip r:embed="rId29" cstate="print">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a:xfrm>
                            <a:off x="0" y="0"/>
                            <a:ext cx="684753" cy="801848"/>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3EE454E">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66E572DD">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 xml:space="preserve">The Directorate will need trash cans to be distributed to schools. </w:t>
            </w:r>
          </w:p>
        </w:tc>
      </w:tr>
      <w:tr w14:paraId="4412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B44130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D9ADE64">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Read with the Community Day &amp; Culture Week Annually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9527CEB">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7C8F0DFF">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1718EC8C">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237628B">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1CC445E">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46783C4">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7236EA3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10,000.00</w:t>
            </w:r>
          </w:p>
        </w:tc>
        <w:tc>
          <w:tcPr>
            <w:tcW w:w="757" w:type="dxa"/>
            <w:tcBorders>
              <w:top w:val="single" w:color="auto" w:sz="4" w:space="0"/>
              <w:left w:val="single" w:color="auto" w:sz="4" w:space="0"/>
              <w:bottom w:val="single" w:color="auto" w:sz="4" w:space="0"/>
              <w:right w:val="single" w:color="auto" w:sz="4" w:space="0"/>
            </w:tcBorders>
            <w:vAlign w:val="center"/>
          </w:tcPr>
          <w:p w14:paraId="3FC33A89">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w:t>
            </w:r>
          </w:p>
        </w:tc>
        <w:tc>
          <w:tcPr>
            <w:tcW w:w="1212" w:type="dxa"/>
            <w:tcBorders>
              <w:top w:val="single" w:color="auto" w:sz="4" w:space="0"/>
              <w:left w:val="single" w:color="auto" w:sz="4" w:space="0"/>
              <w:bottom w:val="single" w:color="auto" w:sz="4" w:space="0"/>
              <w:right w:val="single" w:color="auto" w:sz="4" w:space="0"/>
            </w:tcBorders>
            <w:vAlign w:val="center"/>
          </w:tcPr>
          <w:p w14:paraId="3FA9606D">
            <w:pPr>
              <w:spacing w:line="240" w:lineRule="auto"/>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667385" cy="787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70094" cy="789976"/>
                          </a:xfrm>
                          <a:prstGeom prst="rect">
                            <a:avLst/>
                          </a:prstGeom>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FE51A73">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3349A58">
            <w:pPr>
              <w:spacing w:line="240" w:lineRule="auto"/>
              <w:jc w:val="both"/>
              <w:rPr>
                <w:rFonts w:ascii="Times New Roman" w:hAnsi="Times New Roman" w:cs="Times New Roman"/>
                <w:sz w:val="20"/>
                <w:szCs w:val="20"/>
                <w:lang w:val="en-GB" w:eastAsia="en-GB"/>
              </w:rPr>
            </w:pPr>
          </w:p>
        </w:tc>
      </w:tr>
      <w:tr w14:paraId="2A6A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7D8169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7E7A462">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School, Circuit, Municipal, Zonal &amp; Regional STMIE Clinics by Dec. 2026.</w:t>
            </w:r>
          </w:p>
        </w:tc>
        <w:tc>
          <w:tcPr>
            <w:tcW w:w="1420" w:type="dxa"/>
            <w:tcBorders>
              <w:top w:val="single" w:color="auto" w:sz="4" w:space="0"/>
              <w:left w:val="single" w:color="auto" w:sz="4" w:space="0"/>
              <w:bottom w:val="single" w:color="auto" w:sz="4" w:space="0"/>
              <w:right w:val="single" w:color="auto" w:sz="4" w:space="0"/>
            </w:tcBorders>
            <w:vAlign w:val="center"/>
          </w:tcPr>
          <w:p w14:paraId="5C99EAF0">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17D6E0E4">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297E4D4B">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D67EE24">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727C840">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C3A0BC0">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50,000.00</w:t>
            </w:r>
          </w:p>
        </w:tc>
        <w:tc>
          <w:tcPr>
            <w:tcW w:w="1276" w:type="dxa"/>
            <w:tcBorders>
              <w:top w:val="single" w:color="auto" w:sz="4" w:space="0"/>
              <w:left w:val="single" w:color="auto" w:sz="4" w:space="0"/>
              <w:bottom w:val="single" w:color="auto" w:sz="4" w:space="0"/>
              <w:right w:val="single" w:color="auto" w:sz="4" w:space="0"/>
            </w:tcBorders>
            <w:vAlign w:val="center"/>
          </w:tcPr>
          <w:p w14:paraId="39E1B00C">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20,000.000</w:t>
            </w:r>
          </w:p>
        </w:tc>
        <w:tc>
          <w:tcPr>
            <w:tcW w:w="757" w:type="dxa"/>
            <w:tcBorders>
              <w:top w:val="single" w:color="auto" w:sz="4" w:space="0"/>
              <w:left w:val="single" w:color="auto" w:sz="4" w:space="0"/>
              <w:bottom w:val="single" w:color="auto" w:sz="4" w:space="0"/>
              <w:right w:val="single" w:color="auto" w:sz="4" w:space="0"/>
            </w:tcBorders>
            <w:vAlign w:val="center"/>
          </w:tcPr>
          <w:p w14:paraId="222B9A66">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30%</w:t>
            </w:r>
          </w:p>
        </w:tc>
        <w:tc>
          <w:tcPr>
            <w:tcW w:w="1212" w:type="dxa"/>
            <w:tcBorders>
              <w:top w:val="single" w:color="auto" w:sz="4" w:space="0"/>
              <w:left w:val="single" w:color="auto" w:sz="4" w:space="0"/>
              <w:bottom w:val="single" w:color="auto" w:sz="4" w:space="0"/>
              <w:right w:val="single" w:color="auto" w:sz="4" w:space="0"/>
            </w:tcBorders>
            <w:vAlign w:val="center"/>
          </w:tcPr>
          <w:p w14:paraId="7DCEECF4">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871220" cy="796925"/>
                  <wp:effectExtent l="0" t="0" r="5080" b="3175"/>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73350" cy="799206"/>
                          </a:xfrm>
                          <a:prstGeom prst="rect">
                            <a:avLst/>
                          </a:prstGeom>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6654BCC">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7198E06">
            <w:pPr>
              <w:spacing w:line="240" w:lineRule="auto"/>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 xml:space="preserve">Girls in STEM Quiz competitions were organized. Akoase Kissinger Baptist International School won. </w:t>
            </w:r>
          </w:p>
        </w:tc>
      </w:tr>
      <w:tr w14:paraId="6BF5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05282D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8737C15">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Annual Education Review by the end of Sept. 2026.</w:t>
            </w:r>
          </w:p>
        </w:tc>
        <w:tc>
          <w:tcPr>
            <w:tcW w:w="1420" w:type="dxa"/>
            <w:tcBorders>
              <w:top w:val="single" w:color="auto" w:sz="4" w:space="0"/>
              <w:left w:val="single" w:color="auto" w:sz="4" w:space="0"/>
              <w:bottom w:val="single" w:color="auto" w:sz="4" w:space="0"/>
              <w:right w:val="single" w:color="auto" w:sz="4" w:space="0"/>
            </w:tcBorders>
            <w:vAlign w:val="center"/>
          </w:tcPr>
          <w:p w14:paraId="516BE7A7">
            <w:pPr>
              <w:spacing w:line="240" w:lineRule="auto"/>
              <w:rPr>
                <w:rFonts w:ascii="Times New Roman" w:hAnsi="Times New Roman" w:cs="Times New Roman"/>
                <w:sz w:val="20"/>
                <w:szCs w:val="20"/>
              </w:rPr>
            </w:pPr>
            <w:r>
              <w:rPr>
                <w:rFonts w:ascii="Times New Roman" w:hAnsi="Times New Roman" w:cs="Times New Roman"/>
                <w:sz w:val="20"/>
                <w:szCs w:val="20"/>
              </w:rPr>
              <w:t>Social Development</w:t>
            </w:r>
          </w:p>
        </w:tc>
        <w:tc>
          <w:tcPr>
            <w:tcW w:w="1157" w:type="dxa"/>
            <w:tcBorders>
              <w:top w:val="single" w:color="auto" w:sz="4" w:space="0"/>
              <w:left w:val="single" w:color="auto" w:sz="4" w:space="0"/>
              <w:bottom w:val="single" w:color="auto" w:sz="4" w:space="0"/>
              <w:right w:val="single" w:color="auto" w:sz="4" w:space="0"/>
            </w:tcBorders>
            <w:vAlign w:val="center"/>
          </w:tcPr>
          <w:p w14:paraId="33A2CA16">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072F6E5C">
            <w:pPr>
              <w:spacing w:line="240" w:lineRule="auto"/>
              <w:jc w:val="center"/>
              <w:rPr>
                <w:rFonts w:ascii="Times New Roman" w:hAnsi="Times New Roman" w:cs="Times New Roman"/>
                <w:sz w:val="20"/>
                <w:szCs w:val="20"/>
              </w:rPr>
            </w:pPr>
            <w:r>
              <w:rPr>
                <w:rFonts w:ascii="Times New Roman" w:hAnsi="Times New Roman" w:cs="Times New Roman"/>
                <w:sz w:val="20"/>
                <w:szCs w:val="20"/>
                <w:lang w:eastAsia="en-GB"/>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1A9740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CD4D14A">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B6DC5D2">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14,000.00</w:t>
            </w:r>
          </w:p>
        </w:tc>
        <w:tc>
          <w:tcPr>
            <w:tcW w:w="1276" w:type="dxa"/>
            <w:tcBorders>
              <w:top w:val="single" w:color="auto" w:sz="4" w:space="0"/>
              <w:left w:val="single" w:color="auto" w:sz="4" w:space="0"/>
              <w:bottom w:val="single" w:color="auto" w:sz="4" w:space="0"/>
              <w:right w:val="single" w:color="auto" w:sz="4" w:space="0"/>
            </w:tcBorders>
            <w:vAlign w:val="center"/>
          </w:tcPr>
          <w:p w14:paraId="2D4ADD23">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C124502">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0%</w:t>
            </w:r>
          </w:p>
        </w:tc>
        <w:tc>
          <w:tcPr>
            <w:tcW w:w="1212" w:type="dxa"/>
            <w:tcBorders>
              <w:top w:val="single" w:color="auto" w:sz="4" w:space="0"/>
              <w:left w:val="single" w:color="auto" w:sz="4" w:space="0"/>
              <w:bottom w:val="single" w:color="auto" w:sz="4" w:space="0"/>
              <w:right w:val="single" w:color="auto" w:sz="4" w:space="0"/>
            </w:tcBorders>
            <w:vAlign w:val="center"/>
          </w:tcPr>
          <w:p w14:paraId="53EE2788">
            <w:pPr>
              <w:spacing w:line="240" w:lineRule="auto"/>
              <w:jc w:val="center"/>
              <w:rPr>
                <w:rFonts w:ascii="Times New Roman" w:hAnsi="Times New Roman" w:cs="Times New Roman"/>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26F6305">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Yet – to -start</w:t>
            </w:r>
          </w:p>
        </w:tc>
        <w:tc>
          <w:tcPr>
            <w:tcW w:w="990" w:type="dxa"/>
            <w:tcBorders>
              <w:top w:val="single" w:color="auto" w:sz="4" w:space="0"/>
              <w:left w:val="single" w:color="auto" w:sz="4" w:space="0"/>
              <w:bottom w:val="single" w:color="auto" w:sz="4" w:space="0"/>
              <w:right w:val="single" w:color="auto" w:sz="4" w:space="0"/>
            </w:tcBorders>
            <w:vAlign w:val="center"/>
          </w:tcPr>
          <w:p w14:paraId="3636B61F">
            <w:pPr>
              <w:spacing w:line="240" w:lineRule="auto"/>
              <w:jc w:val="both"/>
              <w:rPr>
                <w:rFonts w:ascii="Times New Roman" w:hAnsi="Times New Roman" w:cs="Times New Roman"/>
                <w:sz w:val="20"/>
                <w:szCs w:val="20"/>
                <w:lang w:val="en-GB" w:eastAsia="en-GB"/>
              </w:rPr>
            </w:pPr>
          </w:p>
        </w:tc>
      </w:tr>
      <w:tr w14:paraId="000C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4659D9FB">
            <w:pPr>
              <w:spacing w:line="240" w:lineRule="auto"/>
              <w:jc w:val="center"/>
              <w:rPr>
                <w:rFonts w:ascii="Times New Roman" w:hAnsi="Times New Roman" w:cs="Times New Roman"/>
                <w:b/>
                <w:bCs/>
                <w:sz w:val="20"/>
                <w:szCs w:val="20"/>
                <w:lang w:val="en-GB" w:eastAsia="en-GB"/>
              </w:rPr>
            </w:pPr>
            <w:r>
              <w:rPr>
                <w:rFonts w:ascii="Times New Roman" w:hAnsi="Times New Roman" w:cs="Times New Roman"/>
                <w:b/>
                <w:bCs/>
                <w:sz w:val="20"/>
                <w:szCs w:val="20"/>
                <w:lang w:val="en-GB" w:eastAsia="en-GB"/>
              </w:rPr>
              <w:t>HEALTH SERVICE DELIVERY</w:t>
            </w:r>
          </w:p>
        </w:tc>
      </w:tr>
      <w:tr w14:paraId="13F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58AB44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53398E8">
            <w:pPr>
              <w:spacing w:after="0" w:line="240" w:lineRule="auto"/>
              <w:jc w:val="both"/>
              <w:rPr>
                <w:rFonts w:ascii="Times New Roman" w:hAnsi="Times New Roman" w:eastAsia="Times New Roman" w:cs="Times New Roman"/>
                <w:bCs/>
                <w:sz w:val="20"/>
                <w:szCs w:val="20"/>
              </w:rPr>
            </w:pPr>
            <w:r>
              <w:rPr>
                <w:rFonts w:ascii="Times New Roman" w:hAnsi="Times New Roman" w:eastAsia="Calibri" w:cs="Times New Roman"/>
                <w:bCs/>
                <w:sz w:val="20"/>
                <w:szCs w:val="20"/>
              </w:rPr>
              <w:t>Increase uptake of Expanded Programme on Immunization (EPI) services through outreach and supportive supervision/promote malaria prevention/organize health screening for adolescent age group on HIV/Aids</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77DE6E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0410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25,660,00</w:t>
            </w:r>
          </w:p>
        </w:tc>
        <w:tc>
          <w:tcPr>
            <w:tcW w:w="1251" w:type="dxa"/>
            <w:tcBorders>
              <w:top w:val="single" w:color="auto" w:sz="4" w:space="0"/>
              <w:left w:val="single" w:color="auto" w:sz="4" w:space="0"/>
              <w:bottom w:val="single" w:color="auto" w:sz="4" w:space="0"/>
              <w:right w:val="single" w:color="auto" w:sz="4" w:space="0"/>
            </w:tcBorders>
            <w:vAlign w:val="center"/>
          </w:tcPr>
          <w:p w14:paraId="787435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D3DCF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7530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7A67EBE">
            <w:pPr>
              <w:spacing w:after="0" w:line="240" w:lineRule="auto"/>
              <w:jc w:val="center"/>
              <w:rPr>
                <w:rFonts w:ascii="Times New Roman" w:hAnsi="Times New Roman" w:eastAsia="Times New Roman" w:cs="Times New Roman"/>
                <w:sz w:val="20"/>
                <w:szCs w:val="20"/>
              </w:rPr>
            </w:pPr>
            <w:r>
              <w:rPr>
                <w:rFonts w:ascii="Times New Roman" w:hAnsi="Times New Roman" w:cs="Times New Roman"/>
                <w:sz w:val="20"/>
                <w:szCs w:val="20"/>
              </w:rPr>
              <w:t>25,660,00</w:t>
            </w:r>
          </w:p>
        </w:tc>
        <w:tc>
          <w:tcPr>
            <w:tcW w:w="1276" w:type="dxa"/>
            <w:tcBorders>
              <w:top w:val="single" w:color="auto" w:sz="4" w:space="0"/>
              <w:left w:val="single" w:color="auto" w:sz="4" w:space="0"/>
              <w:bottom w:val="single" w:color="auto" w:sz="4" w:space="0"/>
              <w:right w:val="single" w:color="auto" w:sz="4" w:space="0"/>
            </w:tcBorders>
            <w:vAlign w:val="center"/>
          </w:tcPr>
          <w:p w14:paraId="495943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08D9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53EB88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drawing>
                <wp:inline distT="0" distB="0" distL="0" distR="0">
                  <wp:extent cx="981710" cy="736600"/>
                  <wp:effectExtent l="0" t="0" r="889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996854" cy="747642"/>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DE09E3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On-going </w:t>
            </w:r>
          </w:p>
        </w:tc>
        <w:tc>
          <w:tcPr>
            <w:tcW w:w="990" w:type="dxa"/>
            <w:tcBorders>
              <w:top w:val="single" w:color="auto" w:sz="4" w:space="0"/>
              <w:left w:val="single" w:color="auto" w:sz="4" w:space="0"/>
              <w:bottom w:val="single" w:color="auto" w:sz="4" w:space="0"/>
              <w:right w:val="single" w:color="auto" w:sz="4" w:space="0"/>
            </w:tcBorders>
            <w:vAlign w:val="center"/>
          </w:tcPr>
          <w:p w14:paraId="7D21C797">
            <w:pPr>
              <w:spacing w:line="240" w:lineRule="auto"/>
              <w:jc w:val="both"/>
              <w:rPr>
                <w:rFonts w:ascii="Times New Roman" w:hAnsi="Times New Roman" w:cs="Times New Roman"/>
                <w:sz w:val="20"/>
                <w:szCs w:val="20"/>
                <w:lang w:val="en-GB" w:eastAsia="en-GB"/>
              </w:rPr>
            </w:pPr>
          </w:p>
        </w:tc>
      </w:tr>
      <w:tr w14:paraId="7C6C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98D6AD0">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1479350">
            <w:pPr>
              <w:spacing w:after="0" w:line="240" w:lineRule="auto"/>
              <w:rPr>
                <w:rFonts w:ascii="Times New Roman" w:hAnsi="Times New Roman" w:cs="Times New Roman"/>
                <w:bCs/>
                <w:sz w:val="20"/>
                <w:szCs w:val="20"/>
              </w:rPr>
            </w:pPr>
            <w:r>
              <w:rPr>
                <w:rFonts w:ascii="Times New Roman" w:hAnsi="Times New Roman" w:eastAsia="Calibri" w:cs="Times New Roman"/>
                <w:bCs/>
                <w:sz w:val="20"/>
                <w:szCs w:val="20"/>
              </w:rPr>
              <w:t>Undertake Mass Drug Administration against Onchocerciasis, Schistosomiasis, Intestinal worms, Yaws/support to Integrated Disease Surveillance and response to epidemic prone disease and other disease of public health importance</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1EB57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1C89AC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51,000.00</w:t>
            </w:r>
          </w:p>
        </w:tc>
        <w:tc>
          <w:tcPr>
            <w:tcW w:w="1251" w:type="dxa"/>
            <w:tcBorders>
              <w:top w:val="single" w:color="auto" w:sz="4" w:space="0"/>
              <w:left w:val="single" w:color="auto" w:sz="4" w:space="0"/>
              <w:bottom w:val="single" w:color="auto" w:sz="4" w:space="0"/>
              <w:right w:val="single" w:color="auto" w:sz="4" w:space="0"/>
            </w:tcBorders>
            <w:vAlign w:val="center"/>
          </w:tcPr>
          <w:p w14:paraId="68A908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7C078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DD5D1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EDA213B">
            <w:pPr>
              <w:spacing w:after="0" w:line="240" w:lineRule="auto"/>
              <w:jc w:val="center"/>
              <w:rPr>
                <w:rFonts w:ascii="Times New Roman" w:hAnsi="Times New Roman" w:eastAsia="Times New Roman" w:cs="Times New Roman"/>
                <w:sz w:val="20"/>
                <w:szCs w:val="20"/>
              </w:rPr>
            </w:pPr>
            <w:r>
              <w:rPr>
                <w:rFonts w:ascii="Times New Roman" w:hAnsi="Times New Roman" w:cs="Times New Roman"/>
                <w:sz w:val="20"/>
                <w:szCs w:val="20"/>
              </w:rPr>
              <w:t>51,000.00</w:t>
            </w:r>
          </w:p>
        </w:tc>
        <w:tc>
          <w:tcPr>
            <w:tcW w:w="1276" w:type="dxa"/>
            <w:tcBorders>
              <w:top w:val="single" w:color="auto" w:sz="4" w:space="0"/>
              <w:left w:val="single" w:color="auto" w:sz="4" w:space="0"/>
              <w:bottom w:val="single" w:color="auto" w:sz="4" w:space="0"/>
              <w:right w:val="single" w:color="auto" w:sz="4" w:space="0"/>
            </w:tcBorders>
            <w:vAlign w:val="center"/>
          </w:tcPr>
          <w:p w14:paraId="5139B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EDF2E1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42F7B05F">
            <w:pPr>
              <w:spacing w:after="0" w:line="240" w:lineRule="auto"/>
              <w:jc w:val="both"/>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33361710">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eastAsia="en-GB"/>
              </w:rPr>
              <w:t>Yet – to -start</w:t>
            </w:r>
          </w:p>
        </w:tc>
        <w:tc>
          <w:tcPr>
            <w:tcW w:w="990" w:type="dxa"/>
            <w:tcBorders>
              <w:top w:val="single" w:color="auto" w:sz="4" w:space="0"/>
              <w:left w:val="single" w:color="auto" w:sz="4" w:space="0"/>
              <w:bottom w:val="single" w:color="auto" w:sz="4" w:space="0"/>
              <w:right w:val="single" w:color="auto" w:sz="4" w:space="0"/>
            </w:tcBorders>
            <w:vAlign w:val="center"/>
          </w:tcPr>
          <w:p w14:paraId="3D1F7F87">
            <w:pPr>
              <w:spacing w:line="240" w:lineRule="auto"/>
              <w:jc w:val="both"/>
              <w:rPr>
                <w:rFonts w:ascii="Times New Roman" w:hAnsi="Times New Roman" w:cs="Times New Roman"/>
                <w:sz w:val="20"/>
                <w:szCs w:val="20"/>
                <w:lang w:val="en-GB" w:eastAsia="en-GB"/>
              </w:rPr>
            </w:pPr>
          </w:p>
        </w:tc>
      </w:tr>
      <w:tr w14:paraId="148E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ED9889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A594F89">
            <w:p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Expand screening programmes for selected non-communicable diseases|: hypertension, diabetes, sickle cell, and selected cancers and   Increase access to modern FP services through public education and regular supplies of FP commodities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F4D165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3B5E935F">
            <w:pPr>
              <w:spacing w:after="0" w:line="240" w:lineRule="auto"/>
              <w:jc w:val="center"/>
              <w:rPr>
                <w:rFonts w:ascii="Times New Roman" w:hAnsi="Times New Roman" w:cs="Times New Roman"/>
                <w:sz w:val="20"/>
                <w:szCs w:val="20"/>
              </w:rPr>
            </w:pPr>
            <w:r>
              <w:rPr>
                <w:rFonts w:ascii="Times New Roman" w:hAnsi="Times New Roman" w:eastAsia="Calibri" w:cs="Times New Roman"/>
                <w:sz w:val="20"/>
                <w:szCs w:val="20"/>
              </w:rPr>
              <w:t>60,000.00</w:t>
            </w:r>
          </w:p>
        </w:tc>
        <w:tc>
          <w:tcPr>
            <w:tcW w:w="1251" w:type="dxa"/>
            <w:tcBorders>
              <w:top w:val="single" w:color="auto" w:sz="4" w:space="0"/>
              <w:left w:val="single" w:color="auto" w:sz="4" w:space="0"/>
              <w:bottom w:val="single" w:color="auto" w:sz="4" w:space="0"/>
              <w:right w:val="single" w:color="auto" w:sz="4" w:space="0"/>
            </w:tcBorders>
            <w:vAlign w:val="center"/>
          </w:tcPr>
          <w:p w14:paraId="36486A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337B7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B803F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2129C46">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60,000.00</w:t>
            </w:r>
          </w:p>
        </w:tc>
        <w:tc>
          <w:tcPr>
            <w:tcW w:w="1276" w:type="dxa"/>
            <w:tcBorders>
              <w:top w:val="single" w:color="auto" w:sz="4" w:space="0"/>
              <w:left w:val="single" w:color="auto" w:sz="4" w:space="0"/>
              <w:bottom w:val="single" w:color="auto" w:sz="4" w:space="0"/>
              <w:right w:val="single" w:color="auto" w:sz="4" w:space="0"/>
            </w:tcBorders>
            <w:vAlign w:val="center"/>
          </w:tcPr>
          <w:p w14:paraId="7F020F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D078B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757CFFF5">
            <w:pPr>
              <w:spacing w:after="0" w:line="240" w:lineRule="auto"/>
              <w:jc w:val="both"/>
              <w:rPr>
                <w:rFonts w:ascii="Times New Roman" w:hAnsi="Times New Roman" w:cs="Times New Roman"/>
                <w:sz w:val="20"/>
                <w:szCs w:val="20"/>
              </w:rPr>
            </w:pPr>
            <w:r>
              <w:rPr>
                <w:rFonts w:ascii="Times New Roman" w:hAnsi="Times New Roman" w:cs="Times New Roman"/>
                <w:sz w:val="20"/>
                <w:szCs w:val="20"/>
              </w:rPr>
              <w:drawing>
                <wp:inline distT="0" distB="0" distL="0" distR="0">
                  <wp:extent cx="925830" cy="812800"/>
                  <wp:effectExtent l="0" t="0" r="762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989928" cy="868553"/>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77443A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On-going </w:t>
            </w:r>
          </w:p>
        </w:tc>
        <w:tc>
          <w:tcPr>
            <w:tcW w:w="990" w:type="dxa"/>
            <w:tcBorders>
              <w:top w:val="single" w:color="auto" w:sz="4" w:space="0"/>
              <w:left w:val="single" w:color="auto" w:sz="4" w:space="0"/>
              <w:bottom w:val="single" w:color="auto" w:sz="4" w:space="0"/>
              <w:right w:val="single" w:color="auto" w:sz="4" w:space="0"/>
            </w:tcBorders>
            <w:vAlign w:val="center"/>
          </w:tcPr>
          <w:p w14:paraId="22543C01">
            <w:pPr>
              <w:spacing w:line="240" w:lineRule="auto"/>
              <w:jc w:val="both"/>
              <w:rPr>
                <w:rFonts w:ascii="Times New Roman" w:hAnsi="Times New Roman" w:cs="Times New Roman"/>
                <w:sz w:val="20"/>
                <w:szCs w:val="20"/>
                <w:lang w:val="en-GB" w:eastAsia="en-GB"/>
              </w:rPr>
            </w:pPr>
          </w:p>
        </w:tc>
      </w:tr>
      <w:tr w14:paraId="62E1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36DED62">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B38AD4E">
            <w:p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 xml:space="preserve">Provide basic equipment’s: BP apparatus, HB meters and autoclave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785D67F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326A7ED2">
            <w:pPr>
              <w:spacing w:after="0" w:line="240" w:lineRule="auto"/>
              <w:jc w:val="center"/>
              <w:rPr>
                <w:rFonts w:ascii="Times New Roman" w:hAnsi="Times New Roman" w:cs="Times New Roman"/>
                <w:sz w:val="20"/>
                <w:szCs w:val="20"/>
              </w:rPr>
            </w:pPr>
            <w:r>
              <w:rPr>
                <w:rFonts w:ascii="Times New Roman" w:hAnsi="Times New Roman" w:eastAsia="Calibri" w:cs="Times New Roman"/>
                <w:sz w:val="20"/>
                <w:szCs w:val="20"/>
              </w:rPr>
              <w:t>45,000.00</w:t>
            </w:r>
          </w:p>
        </w:tc>
        <w:tc>
          <w:tcPr>
            <w:tcW w:w="1251" w:type="dxa"/>
            <w:tcBorders>
              <w:top w:val="single" w:color="auto" w:sz="4" w:space="0"/>
              <w:left w:val="single" w:color="auto" w:sz="4" w:space="0"/>
              <w:bottom w:val="single" w:color="auto" w:sz="4" w:space="0"/>
              <w:right w:val="single" w:color="auto" w:sz="4" w:space="0"/>
            </w:tcBorders>
            <w:vAlign w:val="center"/>
          </w:tcPr>
          <w:p w14:paraId="3A8FFD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0EFAA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561F3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9B9B33F">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45,000.00</w:t>
            </w:r>
          </w:p>
        </w:tc>
        <w:tc>
          <w:tcPr>
            <w:tcW w:w="1276" w:type="dxa"/>
            <w:tcBorders>
              <w:top w:val="single" w:color="auto" w:sz="4" w:space="0"/>
              <w:left w:val="single" w:color="auto" w:sz="4" w:space="0"/>
              <w:bottom w:val="single" w:color="auto" w:sz="4" w:space="0"/>
              <w:right w:val="single" w:color="auto" w:sz="4" w:space="0"/>
            </w:tcBorders>
            <w:vAlign w:val="center"/>
          </w:tcPr>
          <w:p w14:paraId="441E6B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E1A71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776FBDD">
            <w:pPr>
              <w:spacing w:after="0" w:line="240" w:lineRule="auto"/>
              <w:jc w:val="both"/>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6AA92ACB">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eastAsia="en-GB"/>
              </w:rPr>
              <w:t>Yet – to -start</w:t>
            </w:r>
          </w:p>
        </w:tc>
        <w:tc>
          <w:tcPr>
            <w:tcW w:w="990" w:type="dxa"/>
            <w:tcBorders>
              <w:top w:val="single" w:color="auto" w:sz="4" w:space="0"/>
              <w:left w:val="single" w:color="auto" w:sz="4" w:space="0"/>
              <w:bottom w:val="single" w:color="auto" w:sz="4" w:space="0"/>
              <w:right w:val="single" w:color="auto" w:sz="4" w:space="0"/>
            </w:tcBorders>
            <w:vAlign w:val="center"/>
          </w:tcPr>
          <w:p w14:paraId="76DBA1F5">
            <w:pPr>
              <w:spacing w:line="240" w:lineRule="auto"/>
              <w:jc w:val="both"/>
              <w:rPr>
                <w:rFonts w:ascii="Times New Roman" w:hAnsi="Times New Roman" w:cs="Times New Roman"/>
                <w:sz w:val="20"/>
                <w:szCs w:val="20"/>
                <w:lang w:val="en-GB" w:eastAsia="en-GB"/>
              </w:rPr>
            </w:pPr>
          </w:p>
        </w:tc>
      </w:tr>
      <w:tr w14:paraId="22AE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307594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BFA18A4">
            <w:p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Increase access to modern FP services through public education and regular supplies of FP commodities/Promote mental health related issues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4904F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6F590229">
            <w:pPr>
              <w:spacing w:after="0" w:line="240" w:lineRule="auto"/>
              <w:jc w:val="center"/>
              <w:rPr>
                <w:rFonts w:ascii="Times New Roman" w:hAnsi="Times New Roman" w:cs="Times New Roman"/>
                <w:sz w:val="20"/>
                <w:szCs w:val="20"/>
              </w:rPr>
            </w:pPr>
            <w:r>
              <w:rPr>
                <w:rFonts w:ascii="Times New Roman" w:hAnsi="Times New Roman" w:eastAsia="Calibri"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44B4BE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502EB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C20D1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Pr>
                <w:rFonts w:ascii="Times New Roman" w:hAnsi="Times New Roman" w:cs="Times New Roman"/>
                <w:sz w:val="20"/>
                <w:szCs w:val="20"/>
                <w:vertAlign w:val="superscript"/>
              </w:rPr>
              <w:t>st</w:t>
            </w:r>
            <w:r>
              <w:rPr>
                <w:rFonts w:ascii="Times New Roman" w:hAnsi="Times New Roman" w:cs="Times New Roman"/>
                <w:sz w:val="20"/>
                <w:szCs w:val="20"/>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2154B12">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15EDDA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0ED5F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D71A4A0">
            <w:pPr>
              <w:spacing w:after="0" w:line="240" w:lineRule="auto"/>
              <w:jc w:val="both"/>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BC536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On-going </w:t>
            </w:r>
          </w:p>
        </w:tc>
        <w:tc>
          <w:tcPr>
            <w:tcW w:w="990" w:type="dxa"/>
            <w:tcBorders>
              <w:top w:val="single" w:color="auto" w:sz="4" w:space="0"/>
              <w:left w:val="single" w:color="auto" w:sz="4" w:space="0"/>
              <w:bottom w:val="single" w:color="auto" w:sz="4" w:space="0"/>
              <w:right w:val="single" w:color="auto" w:sz="4" w:space="0"/>
            </w:tcBorders>
            <w:vAlign w:val="center"/>
          </w:tcPr>
          <w:p w14:paraId="37B7D689">
            <w:pPr>
              <w:spacing w:line="240" w:lineRule="auto"/>
              <w:jc w:val="both"/>
              <w:rPr>
                <w:rFonts w:ascii="Times New Roman" w:hAnsi="Times New Roman" w:cs="Times New Roman"/>
                <w:sz w:val="20"/>
                <w:szCs w:val="20"/>
                <w:lang w:val="en-GB" w:eastAsia="en-GB"/>
              </w:rPr>
            </w:pPr>
          </w:p>
        </w:tc>
      </w:tr>
      <w:tr w14:paraId="5D42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0A4D9463">
            <w:pPr>
              <w:spacing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ENVIRONMENTAL HEALTH</w:t>
            </w:r>
          </w:p>
        </w:tc>
      </w:tr>
      <w:tr w14:paraId="3B40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24E88F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9E9F880">
            <w:pPr>
              <w:spacing w:line="240" w:lineRule="auto"/>
              <w:jc w:val="both"/>
              <w:rPr>
                <w:rFonts w:ascii="Times New Roman" w:hAnsi="Times New Roman" w:cs="Times New Roman"/>
                <w:bCs/>
                <w:sz w:val="20"/>
                <w:szCs w:val="20"/>
              </w:rPr>
            </w:pPr>
            <w:r>
              <w:rPr>
                <w:rFonts w:ascii="Times New Roman" w:hAnsi="Times New Roman" w:cs="Times New Roman"/>
                <w:bCs/>
                <w:sz w:val="20"/>
                <w:szCs w:val="20"/>
              </w:rPr>
              <w:t>Support to E-Waste projects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FEF0EE2">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611AB96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5947CBA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25CD60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E8CB1C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68BE4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1FC3FC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CC44A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51695C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71855" cy="618490"/>
                  <wp:effectExtent l="0" t="0" r="4445" b="0"/>
                  <wp:docPr id="10" name="Picture 10" descr="C:\Users\D\OneDrive\Desktop\4TH QRT PR 2025\E-WASTE PI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D\OneDrive\Desktop\4TH QRT PR 2025\E-WASTE PIC.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882705" cy="626681"/>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204AC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18562118">
            <w:pPr>
              <w:spacing w:line="240" w:lineRule="auto"/>
              <w:jc w:val="both"/>
              <w:rPr>
                <w:rFonts w:ascii="Times New Roman" w:hAnsi="Times New Roman" w:cs="Times New Roman"/>
                <w:sz w:val="20"/>
                <w:szCs w:val="20"/>
                <w:lang w:val="en-GB" w:eastAsia="en-GB"/>
              </w:rPr>
            </w:pPr>
          </w:p>
        </w:tc>
      </w:tr>
      <w:tr w14:paraId="3E91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B30E14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D3E39A2">
            <w:pPr>
              <w:spacing w:before="100" w:beforeAutospacing="1" w:line="240" w:lineRule="auto"/>
              <w:rPr>
                <w:rFonts w:ascii="Times New Roman" w:hAnsi="Times New Roman" w:eastAsia="Calibri" w:cs="Times New Roman"/>
                <w:bCs/>
                <w:sz w:val="20"/>
                <w:szCs w:val="20"/>
              </w:rPr>
            </w:pPr>
            <w:r>
              <w:rPr>
                <w:rFonts w:ascii="Times New Roman" w:hAnsi="Times New Roman" w:eastAsia="Calibri" w:cs="Times New Roman"/>
                <w:bCs/>
                <w:sz w:val="20"/>
                <w:szCs w:val="20"/>
              </w:rPr>
              <w:t>Purchase of sanitary tools</w:t>
            </w:r>
            <w:r>
              <w:rPr>
                <w:rFonts w:ascii="Times New Roman" w:hAnsi="Times New Roman" w:cs="Times New Roman"/>
                <w:bCs/>
                <w:sz w:val="20"/>
                <w:szCs w:val="20"/>
              </w:rPr>
              <w:t xml:space="preserve"> and equipment’s including veronica buckets for public schools and health centers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735A61D">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0326B18">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183,173.01</w:t>
            </w:r>
          </w:p>
        </w:tc>
        <w:tc>
          <w:tcPr>
            <w:tcW w:w="1251" w:type="dxa"/>
            <w:tcBorders>
              <w:top w:val="single" w:color="auto" w:sz="4" w:space="0"/>
              <w:left w:val="single" w:color="auto" w:sz="4" w:space="0"/>
              <w:bottom w:val="single" w:color="auto" w:sz="4" w:space="0"/>
              <w:right w:val="single" w:color="auto" w:sz="4" w:space="0"/>
            </w:tcBorders>
            <w:vAlign w:val="center"/>
          </w:tcPr>
          <w:p w14:paraId="39435947">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67C4BF4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1EBC3E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CC6D047">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183,173.01</w:t>
            </w:r>
          </w:p>
        </w:tc>
        <w:tc>
          <w:tcPr>
            <w:tcW w:w="1276" w:type="dxa"/>
            <w:tcBorders>
              <w:top w:val="single" w:color="auto" w:sz="4" w:space="0"/>
              <w:left w:val="single" w:color="auto" w:sz="4" w:space="0"/>
              <w:bottom w:val="single" w:color="auto" w:sz="4" w:space="0"/>
              <w:right w:val="single" w:color="auto" w:sz="4" w:space="0"/>
            </w:tcBorders>
            <w:vAlign w:val="center"/>
          </w:tcPr>
          <w:p w14:paraId="023114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FEA7CC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1C0F76B">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2E0A5A6">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F3FD315">
            <w:pPr>
              <w:spacing w:line="240" w:lineRule="auto"/>
              <w:jc w:val="both"/>
              <w:rPr>
                <w:rFonts w:ascii="Times New Roman" w:hAnsi="Times New Roman" w:cs="Times New Roman"/>
                <w:sz w:val="20"/>
                <w:szCs w:val="20"/>
                <w:lang w:val="en-GB" w:eastAsia="en-GB"/>
              </w:rPr>
            </w:pPr>
          </w:p>
        </w:tc>
      </w:tr>
      <w:tr w14:paraId="696D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261B5A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9827766">
            <w:pPr>
              <w:spacing w:before="100" w:beforeAutospacing="1" w:line="240" w:lineRule="auto"/>
              <w:rPr>
                <w:rFonts w:ascii="Times New Roman" w:hAnsi="Times New Roman" w:eastAsia="Calibri" w:cs="Times New Roman"/>
                <w:bCs/>
                <w:sz w:val="20"/>
                <w:szCs w:val="20"/>
              </w:rPr>
            </w:pPr>
            <w:r>
              <w:rPr>
                <w:rFonts w:ascii="Times New Roman" w:hAnsi="Times New Roman" w:eastAsia="Calibri" w:cs="Times New Roman"/>
                <w:bCs/>
                <w:sz w:val="20"/>
                <w:szCs w:val="20"/>
              </w:rPr>
              <w:t>Support to Sanitation Improvement Package</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D2B52A8">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20EBF4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430,378.01</w:t>
            </w:r>
          </w:p>
        </w:tc>
        <w:tc>
          <w:tcPr>
            <w:tcW w:w="1251" w:type="dxa"/>
            <w:tcBorders>
              <w:top w:val="single" w:color="auto" w:sz="4" w:space="0"/>
              <w:left w:val="single" w:color="auto" w:sz="4" w:space="0"/>
              <w:bottom w:val="single" w:color="auto" w:sz="4" w:space="0"/>
              <w:right w:val="single" w:color="auto" w:sz="4" w:space="0"/>
            </w:tcBorders>
            <w:vAlign w:val="center"/>
          </w:tcPr>
          <w:p w14:paraId="1ACC4B14">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2A68FAA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864E84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230DA0A">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430,378.01</w:t>
            </w:r>
          </w:p>
        </w:tc>
        <w:tc>
          <w:tcPr>
            <w:tcW w:w="1276" w:type="dxa"/>
            <w:tcBorders>
              <w:top w:val="single" w:color="auto" w:sz="4" w:space="0"/>
              <w:left w:val="single" w:color="auto" w:sz="4" w:space="0"/>
              <w:bottom w:val="single" w:color="auto" w:sz="4" w:space="0"/>
              <w:right w:val="single" w:color="auto" w:sz="4" w:space="0"/>
            </w:tcBorders>
            <w:vAlign w:val="center"/>
          </w:tcPr>
          <w:p w14:paraId="5729AC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4C939CC">
            <w:pPr>
              <w:spacing w:line="240" w:lineRule="auto"/>
              <w:jc w:val="center"/>
              <w:rPr>
                <w:rFonts w:ascii="Times New Roman" w:hAnsi="Times New Roman" w:cs="Times New Roman"/>
                <w:sz w:val="20"/>
                <w:szCs w:val="20"/>
              </w:rPr>
            </w:pPr>
            <w:r>
              <w:rPr>
                <w:rFonts w:ascii="Times New Roman" w:hAnsi="Times New Roman" w:cs="Times New Roman"/>
                <w:sz w:val="20"/>
                <w:szCs w:val="20"/>
                <w:lang w:val="zh-CN"/>
              </w:rPr>
              <w:t>25</w:t>
            </w:r>
            <w:r>
              <w:rPr>
                <w:rFonts w:ascii="Times New Roman" w:hAnsi="Times New Roman" w:cs="Times New Roman"/>
                <w:sz w:val="20"/>
                <w:szCs w:val="20"/>
              </w:rPr>
              <w:t>%</w:t>
            </w:r>
          </w:p>
        </w:tc>
        <w:tc>
          <w:tcPr>
            <w:tcW w:w="1212" w:type="dxa"/>
            <w:tcBorders>
              <w:top w:val="single" w:color="auto" w:sz="4" w:space="0"/>
              <w:left w:val="single" w:color="auto" w:sz="4" w:space="0"/>
              <w:bottom w:val="single" w:color="auto" w:sz="4" w:space="0"/>
              <w:right w:val="single" w:color="auto" w:sz="4" w:space="0"/>
            </w:tcBorders>
            <w:vAlign w:val="center"/>
          </w:tcPr>
          <w:p w14:paraId="66BB43A3">
            <w:pPr>
              <w:spacing w:after="0" w:line="240" w:lineRule="auto"/>
              <w:rPr>
                <w:rFonts w:ascii="Times New Roman" w:hAnsi="Times New Roman" w:cs="Times New Roman"/>
                <w:sz w:val="20"/>
                <w:szCs w:val="20"/>
              </w:rPr>
            </w:pPr>
            <w:r>
              <w:rPr>
                <w:rFonts w:ascii="Calibri" w:hAnsi="Calibri" w:eastAsia="Calibri" w:cs="Times New Roman"/>
                <w:lang w:val="zh-CN"/>
              </w:rPr>
              <w:drawing>
                <wp:inline distT="0" distB="0" distL="0" distR="0">
                  <wp:extent cx="683260" cy="572135"/>
                  <wp:effectExtent l="0" t="0" r="2540" b="0"/>
                  <wp:docPr id="33" name="Picture 33" descr="C:\Users\SAM TUGA\OneDrive\Desktop\SIP 1\WhatsApp Image 2026-02-24 at 16.22.25 (1).jpeg"/>
                  <wp:cNvGraphicFramePr/>
                  <a:graphic xmlns:a="http://schemas.openxmlformats.org/drawingml/2006/main">
                    <a:graphicData uri="http://schemas.openxmlformats.org/drawingml/2006/picture">
                      <pic:pic xmlns:pic="http://schemas.openxmlformats.org/drawingml/2006/picture">
                        <pic:nvPicPr>
                          <pic:cNvPr id="33" name="Picture 33" descr="C:\Users\SAM TUGA\OneDrive\Desktop\SIP 1\WhatsApp Image 2026-02-24 at 16.22.25 (1).jpeg"/>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715155" cy="598359"/>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91EC039">
            <w:pPr>
              <w:spacing w:line="240" w:lineRule="auto"/>
              <w:jc w:val="center"/>
              <w:rPr>
                <w:rFonts w:ascii="Times New Roman" w:hAnsi="Times New Roman" w:cs="Times New Roman"/>
                <w:sz w:val="20"/>
                <w:szCs w:val="20"/>
                <w:lang w:val="zh-CN"/>
              </w:rPr>
            </w:pPr>
            <w:r>
              <w:rPr>
                <w:rFonts w:ascii="Times New Roman" w:hAnsi="Times New Roman" w:cs="Times New Roman"/>
                <w:sz w:val="20"/>
                <w:szCs w:val="20"/>
                <w:lang w:val="zh-CN"/>
              </w:rPr>
              <w:t xml:space="preserve">On-going </w:t>
            </w:r>
          </w:p>
        </w:tc>
        <w:tc>
          <w:tcPr>
            <w:tcW w:w="990" w:type="dxa"/>
            <w:tcBorders>
              <w:top w:val="single" w:color="auto" w:sz="4" w:space="0"/>
              <w:left w:val="single" w:color="auto" w:sz="4" w:space="0"/>
              <w:bottom w:val="single" w:color="auto" w:sz="4" w:space="0"/>
              <w:right w:val="single" w:color="auto" w:sz="4" w:space="0"/>
            </w:tcBorders>
            <w:vAlign w:val="center"/>
          </w:tcPr>
          <w:p w14:paraId="6BC115C8">
            <w:pPr>
              <w:spacing w:line="240" w:lineRule="auto"/>
              <w:jc w:val="both"/>
              <w:rPr>
                <w:rFonts w:ascii="Times New Roman" w:hAnsi="Times New Roman" w:cs="Times New Roman"/>
                <w:sz w:val="20"/>
                <w:szCs w:val="20"/>
                <w:lang w:val="en-GB" w:eastAsia="en-GB"/>
              </w:rPr>
            </w:pPr>
          </w:p>
        </w:tc>
      </w:tr>
      <w:tr w14:paraId="64F7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CBA1E6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B2D7A42">
            <w:pPr>
              <w:spacing w:before="100" w:beforeAutospacing="1" w:line="240" w:lineRule="auto"/>
              <w:rPr>
                <w:rFonts w:ascii="Times New Roman" w:hAnsi="Times New Roman" w:eastAsia="Calibri" w:cs="Times New Roman"/>
                <w:bCs/>
                <w:sz w:val="20"/>
                <w:szCs w:val="20"/>
              </w:rPr>
            </w:pPr>
            <w:r>
              <w:rPr>
                <w:rFonts w:ascii="Times New Roman" w:hAnsi="Times New Roman" w:eastAsia="Calibri" w:cs="Times New Roman"/>
                <w:bCs/>
                <w:sz w:val="20"/>
                <w:szCs w:val="20"/>
              </w:rPr>
              <w:t>Manage Sanitation in the District</w:t>
            </w:r>
            <w:r>
              <w:rPr>
                <w:rFonts w:ascii="Times New Roman" w:hAnsi="Times New Roman" w:cs="Times New Roman"/>
                <w:bCs/>
                <w:sz w:val="20"/>
                <w:szCs w:val="20"/>
              </w:rPr>
              <w:t xml:space="preserve"> by the end of Dec. 2026.</w:t>
            </w:r>
            <w:r>
              <w:rPr>
                <w:rFonts w:ascii="Times New Roman" w:hAnsi="Times New Roman" w:eastAsia="Calibri" w:cs="Times New Roman"/>
                <w:bCs/>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1AB82732">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25C46E5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31,900.00</w:t>
            </w:r>
          </w:p>
        </w:tc>
        <w:tc>
          <w:tcPr>
            <w:tcW w:w="1251" w:type="dxa"/>
            <w:tcBorders>
              <w:top w:val="single" w:color="auto" w:sz="4" w:space="0"/>
              <w:left w:val="single" w:color="auto" w:sz="4" w:space="0"/>
              <w:bottom w:val="single" w:color="auto" w:sz="4" w:space="0"/>
              <w:right w:val="single" w:color="auto" w:sz="4" w:space="0"/>
            </w:tcBorders>
            <w:vAlign w:val="center"/>
          </w:tcPr>
          <w:p w14:paraId="7BC932BA">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70ABFBD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0E91AB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9B3579E">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31,900.00</w:t>
            </w:r>
          </w:p>
        </w:tc>
        <w:tc>
          <w:tcPr>
            <w:tcW w:w="1276" w:type="dxa"/>
            <w:tcBorders>
              <w:top w:val="single" w:color="auto" w:sz="4" w:space="0"/>
              <w:left w:val="single" w:color="auto" w:sz="4" w:space="0"/>
              <w:bottom w:val="single" w:color="auto" w:sz="4" w:space="0"/>
              <w:right w:val="single" w:color="auto" w:sz="4" w:space="0"/>
            </w:tcBorders>
            <w:vAlign w:val="center"/>
          </w:tcPr>
          <w:p w14:paraId="503520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12D32CF">
            <w:pPr>
              <w:spacing w:line="240" w:lineRule="auto"/>
              <w:jc w:val="center"/>
              <w:rPr>
                <w:rFonts w:ascii="Times New Roman" w:hAnsi="Times New Roman" w:cs="Times New Roman"/>
                <w:sz w:val="20"/>
                <w:szCs w:val="20"/>
              </w:rPr>
            </w:pPr>
            <w:r>
              <w:rPr>
                <w:rFonts w:ascii="Times New Roman" w:hAnsi="Times New Roman" w:cs="Times New Roman"/>
                <w:sz w:val="20"/>
                <w:szCs w:val="20"/>
                <w:lang w:val="zh-CN"/>
              </w:rPr>
              <w:t>25</w:t>
            </w:r>
            <w:r>
              <w:rPr>
                <w:rFonts w:ascii="Times New Roman" w:hAnsi="Times New Roman" w:cs="Times New Roman"/>
                <w:sz w:val="20"/>
                <w:szCs w:val="20"/>
              </w:rPr>
              <w:t>%</w:t>
            </w:r>
          </w:p>
        </w:tc>
        <w:tc>
          <w:tcPr>
            <w:tcW w:w="1212" w:type="dxa"/>
            <w:tcBorders>
              <w:top w:val="single" w:color="auto" w:sz="4" w:space="0"/>
              <w:left w:val="single" w:color="auto" w:sz="4" w:space="0"/>
              <w:bottom w:val="single" w:color="auto" w:sz="4" w:space="0"/>
              <w:right w:val="single" w:color="auto" w:sz="4" w:space="0"/>
            </w:tcBorders>
            <w:vAlign w:val="center"/>
          </w:tcPr>
          <w:p w14:paraId="5E02F448">
            <w:pPr>
              <w:spacing w:after="0" w:line="240" w:lineRule="auto"/>
              <w:rPr>
                <w:rFonts w:ascii="Times New Roman" w:hAnsi="Times New Roman" w:cs="Times New Roman"/>
                <w:sz w:val="20"/>
                <w:szCs w:val="20"/>
              </w:rPr>
            </w:pPr>
            <w:r>
              <w:rPr>
                <w:rFonts w:ascii="Calibri" w:hAnsi="Calibri" w:eastAsia="Calibri" w:cs="Times New Roman"/>
                <w:lang w:val="zh-CN"/>
              </w:rPr>
              <w:drawing>
                <wp:inline distT="0" distB="0" distL="0" distR="0">
                  <wp:extent cx="667385" cy="548005"/>
                  <wp:effectExtent l="0" t="0" r="0" b="4445"/>
                  <wp:docPr id="915901453" name="Picture 915901453" descr="C:\Users\SAM TUGA\OneDrive\Desktop\Inspection Pic 2026\WhatsApp Image 2026-04-29 at 08.37.05.jpeg"/>
                  <wp:cNvGraphicFramePr/>
                  <a:graphic xmlns:a="http://schemas.openxmlformats.org/drawingml/2006/main">
                    <a:graphicData uri="http://schemas.openxmlformats.org/drawingml/2006/picture">
                      <pic:pic xmlns:pic="http://schemas.openxmlformats.org/drawingml/2006/picture">
                        <pic:nvPicPr>
                          <pic:cNvPr id="915901453" name="Picture 915901453" descr="C:\Users\SAM TUGA\OneDrive\Desktop\Inspection Pic 2026\WhatsApp Image 2026-04-29 at 08.37.05.jpeg"/>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89484" cy="565707"/>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2625A21">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02287404">
            <w:pPr>
              <w:spacing w:line="240" w:lineRule="auto"/>
              <w:jc w:val="both"/>
              <w:rPr>
                <w:rFonts w:ascii="Times New Roman" w:hAnsi="Times New Roman" w:cs="Times New Roman"/>
                <w:sz w:val="20"/>
                <w:szCs w:val="20"/>
                <w:lang w:val="en-GB" w:eastAsia="en-GB"/>
              </w:rPr>
            </w:pPr>
          </w:p>
        </w:tc>
      </w:tr>
      <w:tr w14:paraId="3378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3A8ACA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8F45D2E">
            <w:pPr>
              <w:spacing w:line="240" w:lineRule="auto"/>
              <w:jc w:val="both"/>
              <w:rPr>
                <w:rFonts w:ascii="Times New Roman" w:hAnsi="Times New Roman" w:cs="Times New Roman"/>
                <w:bCs/>
                <w:sz w:val="20"/>
                <w:szCs w:val="20"/>
              </w:rPr>
            </w:pPr>
            <w:r>
              <w:rPr>
                <w:rFonts w:ascii="Times New Roman" w:hAnsi="Times New Roman" w:cs="Times New Roman"/>
                <w:bCs/>
                <w:sz w:val="20"/>
                <w:szCs w:val="20"/>
              </w:rPr>
              <w:t>Evacuate refuse dump and maintain final dumping sites in the Districts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1A797BC">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2574E209">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240,663.33</w:t>
            </w:r>
          </w:p>
        </w:tc>
        <w:tc>
          <w:tcPr>
            <w:tcW w:w="1251" w:type="dxa"/>
            <w:tcBorders>
              <w:top w:val="single" w:color="auto" w:sz="4" w:space="0"/>
              <w:left w:val="single" w:color="auto" w:sz="4" w:space="0"/>
              <w:bottom w:val="single" w:color="auto" w:sz="4" w:space="0"/>
              <w:right w:val="single" w:color="auto" w:sz="4" w:space="0"/>
            </w:tcBorders>
            <w:vAlign w:val="center"/>
          </w:tcPr>
          <w:p w14:paraId="10104BD7">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5C3A1F0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CC5BBB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8BF49B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240,663.33</w:t>
            </w:r>
          </w:p>
        </w:tc>
        <w:tc>
          <w:tcPr>
            <w:tcW w:w="1276" w:type="dxa"/>
            <w:tcBorders>
              <w:top w:val="single" w:color="auto" w:sz="4" w:space="0"/>
              <w:left w:val="single" w:color="auto" w:sz="4" w:space="0"/>
              <w:bottom w:val="single" w:color="auto" w:sz="4" w:space="0"/>
              <w:right w:val="single" w:color="auto" w:sz="4" w:space="0"/>
            </w:tcBorders>
            <w:vAlign w:val="center"/>
          </w:tcPr>
          <w:p w14:paraId="2D7B3949">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B517684">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F3C8D5B">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107A903">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DEBA078">
            <w:pPr>
              <w:spacing w:line="240" w:lineRule="auto"/>
              <w:jc w:val="both"/>
              <w:rPr>
                <w:rFonts w:ascii="Times New Roman" w:hAnsi="Times New Roman" w:cs="Times New Roman"/>
                <w:sz w:val="20"/>
                <w:szCs w:val="20"/>
                <w:lang w:val="en-GB" w:eastAsia="en-GB"/>
              </w:rPr>
            </w:pPr>
          </w:p>
        </w:tc>
      </w:tr>
      <w:tr w14:paraId="70AD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EBB963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D7EA602">
            <w:pPr>
              <w:spacing w:before="100" w:beforeAutospacing="1" w:line="240" w:lineRule="auto"/>
              <w:rPr>
                <w:rFonts w:ascii="Times New Roman" w:hAnsi="Times New Roman" w:eastAsia="Calibri" w:cs="Times New Roman"/>
                <w:bCs/>
                <w:sz w:val="20"/>
                <w:szCs w:val="20"/>
              </w:rPr>
            </w:pPr>
            <w:r>
              <w:rPr>
                <w:rFonts w:ascii="Times New Roman" w:hAnsi="Times New Roman" w:eastAsia="Calibri" w:cs="Times New Roman"/>
                <w:bCs/>
                <w:sz w:val="20"/>
                <w:szCs w:val="20"/>
              </w:rPr>
              <w:t>Celebrate  World Toilet and Global Hand-Washing Day</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EB34F07">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FEB9123">
            <w:pPr>
              <w:spacing w:after="0" w:line="240" w:lineRule="auto"/>
              <w:jc w:val="center"/>
              <w:rPr>
                <w:rFonts w:ascii="Times New Roman" w:hAnsi="Times New Roman" w:cs="Times New Roman"/>
                <w:sz w:val="20"/>
                <w:szCs w:val="20"/>
              </w:rPr>
            </w:pPr>
            <w:r>
              <w:rPr>
                <w:rFonts w:ascii="Times New Roman" w:hAnsi="Times New Roman" w:eastAsia="Calibri" w:cs="Times New Roman"/>
                <w:sz w:val="20"/>
                <w:szCs w:val="20"/>
              </w:rPr>
              <w:t>10,560.00</w:t>
            </w:r>
          </w:p>
        </w:tc>
        <w:tc>
          <w:tcPr>
            <w:tcW w:w="1251" w:type="dxa"/>
            <w:tcBorders>
              <w:top w:val="single" w:color="auto" w:sz="4" w:space="0"/>
              <w:left w:val="single" w:color="auto" w:sz="4" w:space="0"/>
              <w:bottom w:val="single" w:color="auto" w:sz="4" w:space="0"/>
              <w:right w:val="single" w:color="auto" w:sz="4" w:space="0"/>
            </w:tcBorders>
            <w:vAlign w:val="center"/>
          </w:tcPr>
          <w:p w14:paraId="6B2BE47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DE9D4D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E97544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E894AFC">
            <w:pPr>
              <w:spacing w:after="0" w:line="240" w:lineRule="auto"/>
              <w:jc w:val="center"/>
              <w:rPr>
                <w:rFonts w:ascii="Times New Roman" w:hAnsi="Times New Roman" w:cs="Times New Roman"/>
                <w:sz w:val="20"/>
                <w:szCs w:val="20"/>
              </w:rPr>
            </w:pPr>
            <w:r>
              <w:rPr>
                <w:rFonts w:ascii="Times New Roman" w:hAnsi="Times New Roman" w:eastAsia="Calibri" w:cs="Times New Roman"/>
                <w:sz w:val="20"/>
                <w:szCs w:val="20"/>
              </w:rPr>
              <w:t>10,560.00</w:t>
            </w:r>
          </w:p>
        </w:tc>
        <w:tc>
          <w:tcPr>
            <w:tcW w:w="1276" w:type="dxa"/>
            <w:tcBorders>
              <w:top w:val="single" w:color="auto" w:sz="4" w:space="0"/>
              <w:left w:val="single" w:color="auto" w:sz="4" w:space="0"/>
              <w:bottom w:val="single" w:color="auto" w:sz="4" w:space="0"/>
              <w:right w:val="single" w:color="auto" w:sz="4" w:space="0"/>
            </w:tcBorders>
            <w:vAlign w:val="center"/>
          </w:tcPr>
          <w:p w14:paraId="240E96E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EC0621A">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5806A25">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A74DA1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FDF9D96">
            <w:pPr>
              <w:spacing w:line="240" w:lineRule="auto"/>
              <w:jc w:val="both"/>
              <w:rPr>
                <w:rFonts w:ascii="Times New Roman" w:hAnsi="Times New Roman" w:cs="Times New Roman"/>
                <w:sz w:val="20"/>
                <w:szCs w:val="20"/>
                <w:lang w:val="en-GB" w:eastAsia="en-GB"/>
              </w:rPr>
            </w:pPr>
          </w:p>
        </w:tc>
      </w:tr>
      <w:tr w14:paraId="7509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B0C9C2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DCEBB43">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health education and creation of awareness to construct household latrines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EF2DD4B">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06206BE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13,750.00</w:t>
            </w:r>
          </w:p>
        </w:tc>
        <w:tc>
          <w:tcPr>
            <w:tcW w:w="1251" w:type="dxa"/>
            <w:tcBorders>
              <w:top w:val="single" w:color="auto" w:sz="4" w:space="0"/>
              <w:left w:val="single" w:color="auto" w:sz="4" w:space="0"/>
              <w:bottom w:val="single" w:color="auto" w:sz="4" w:space="0"/>
              <w:right w:val="single" w:color="auto" w:sz="4" w:space="0"/>
            </w:tcBorders>
            <w:vAlign w:val="center"/>
          </w:tcPr>
          <w:p w14:paraId="24D9293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A0F96D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31BCC1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C7086F5">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13,750.00</w:t>
            </w:r>
          </w:p>
        </w:tc>
        <w:tc>
          <w:tcPr>
            <w:tcW w:w="1276" w:type="dxa"/>
            <w:tcBorders>
              <w:top w:val="single" w:color="auto" w:sz="4" w:space="0"/>
              <w:left w:val="single" w:color="auto" w:sz="4" w:space="0"/>
              <w:bottom w:val="single" w:color="auto" w:sz="4" w:space="0"/>
              <w:right w:val="single" w:color="auto" w:sz="4" w:space="0"/>
            </w:tcBorders>
            <w:vAlign w:val="center"/>
          </w:tcPr>
          <w:p w14:paraId="63F65C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600.00</w:t>
            </w:r>
          </w:p>
        </w:tc>
        <w:tc>
          <w:tcPr>
            <w:tcW w:w="757" w:type="dxa"/>
            <w:tcBorders>
              <w:top w:val="single" w:color="auto" w:sz="4" w:space="0"/>
              <w:left w:val="single" w:color="auto" w:sz="4" w:space="0"/>
              <w:bottom w:val="single" w:color="auto" w:sz="4" w:space="0"/>
              <w:right w:val="single" w:color="auto" w:sz="4" w:space="0"/>
            </w:tcBorders>
            <w:vAlign w:val="center"/>
          </w:tcPr>
          <w:p w14:paraId="7D4AF9C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405E0B5C">
            <w:pPr>
              <w:spacing w:after="0" w:line="240" w:lineRule="auto"/>
              <w:rPr>
                <w:rFonts w:ascii="Times New Roman" w:hAnsi="Times New Roman" w:cs="Times New Roman"/>
                <w:sz w:val="20"/>
                <w:szCs w:val="20"/>
              </w:rPr>
            </w:pPr>
            <w:r>
              <w:drawing>
                <wp:inline distT="0" distB="0" distL="0" distR="0">
                  <wp:extent cx="659765" cy="584200"/>
                  <wp:effectExtent l="0" t="0" r="6985" b="6350"/>
                  <wp:docPr id="915901452" name="Picture 915901452" descr="C:\Users\SAM TUGA\OneDrive\Desktop\Inspection Pic 2026\WhatsApp Image 2026-04-29 at 08.37.23 (2).jpeg"/>
                  <wp:cNvGraphicFramePr/>
                  <a:graphic xmlns:a="http://schemas.openxmlformats.org/drawingml/2006/main">
                    <a:graphicData uri="http://schemas.openxmlformats.org/drawingml/2006/picture">
                      <pic:pic xmlns:pic="http://schemas.openxmlformats.org/drawingml/2006/picture">
                        <pic:nvPicPr>
                          <pic:cNvPr id="915901452" name="Picture 915901452" descr="C:\Users\SAM TUGA\OneDrive\Desktop\Inspection Pic 2026\WhatsApp Image 2026-04-29 at 08.37.23 (2).jpeg"/>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703167" cy="622449"/>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2E692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129B90A8">
            <w:pPr>
              <w:spacing w:line="240" w:lineRule="auto"/>
              <w:jc w:val="both"/>
              <w:rPr>
                <w:rFonts w:ascii="Times New Roman" w:hAnsi="Times New Roman" w:cs="Times New Roman"/>
                <w:sz w:val="20"/>
                <w:szCs w:val="20"/>
                <w:lang w:val="en-GB" w:eastAsia="en-GB"/>
              </w:rPr>
            </w:pPr>
          </w:p>
        </w:tc>
      </w:tr>
      <w:tr w14:paraId="2BED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D43352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65A6E89">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health screenings for food and drink vendors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64F4A20">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4ADB649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5DB00E0A">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6176D2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BC32AA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9479544">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2A363A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D75EB0A">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FC6E9ED">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D08F658">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BDF9896">
            <w:pPr>
              <w:spacing w:line="240" w:lineRule="auto"/>
              <w:jc w:val="both"/>
              <w:rPr>
                <w:rFonts w:ascii="Times New Roman" w:hAnsi="Times New Roman" w:cs="Times New Roman"/>
                <w:sz w:val="20"/>
                <w:szCs w:val="20"/>
                <w:lang w:val="en-GB" w:eastAsia="en-GB"/>
              </w:rPr>
            </w:pPr>
          </w:p>
        </w:tc>
      </w:tr>
      <w:tr w14:paraId="52E1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366E7F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DDDC26D">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Undertake a district-wide fumigation exercise</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F78A551">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426AE67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409,445.01</w:t>
            </w:r>
          </w:p>
        </w:tc>
        <w:tc>
          <w:tcPr>
            <w:tcW w:w="1251" w:type="dxa"/>
            <w:tcBorders>
              <w:top w:val="single" w:color="auto" w:sz="4" w:space="0"/>
              <w:left w:val="single" w:color="auto" w:sz="4" w:space="0"/>
              <w:bottom w:val="single" w:color="auto" w:sz="4" w:space="0"/>
              <w:right w:val="single" w:color="auto" w:sz="4" w:space="0"/>
            </w:tcBorders>
            <w:vAlign w:val="center"/>
          </w:tcPr>
          <w:p w14:paraId="1A1885D4">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39D2CFA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7746DD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8A6B1D6">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409,445.01</w:t>
            </w:r>
          </w:p>
        </w:tc>
        <w:tc>
          <w:tcPr>
            <w:tcW w:w="1276" w:type="dxa"/>
            <w:tcBorders>
              <w:top w:val="single" w:color="auto" w:sz="4" w:space="0"/>
              <w:left w:val="single" w:color="auto" w:sz="4" w:space="0"/>
              <w:bottom w:val="single" w:color="auto" w:sz="4" w:space="0"/>
              <w:right w:val="single" w:color="auto" w:sz="4" w:space="0"/>
            </w:tcBorders>
            <w:vAlign w:val="center"/>
          </w:tcPr>
          <w:p w14:paraId="2E014B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2C17CFA">
            <w:pPr>
              <w:spacing w:line="240" w:lineRule="auto"/>
              <w:jc w:val="center"/>
              <w:rPr>
                <w:rFonts w:ascii="Times New Roman" w:hAnsi="Times New Roman" w:cs="Times New Roman"/>
                <w:sz w:val="20"/>
                <w:szCs w:val="20"/>
              </w:rPr>
            </w:pPr>
            <w:r>
              <w:rPr>
                <w:rFonts w:ascii="Times New Roman" w:hAnsi="Times New Roman" w:cs="Times New Roman"/>
                <w:sz w:val="20"/>
                <w:szCs w:val="20"/>
                <w:lang w:val="zh-CN"/>
              </w:rPr>
              <w:t>25</w:t>
            </w:r>
            <w:r>
              <w:rPr>
                <w:rFonts w:ascii="Times New Roman" w:hAnsi="Times New Roman" w:cs="Times New Roman"/>
                <w:sz w:val="20"/>
                <w:szCs w:val="20"/>
              </w:rPr>
              <w:t>%</w:t>
            </w:r>
          </w:p>
        </w:tc>
        <w:tc>
          <w:tcPr>
            <w:tcW w:w="1212" w:type="dxa"/>
            <w:tcBorders>
              <w:top w:val="single" w:color="auto" w:sz="4" w:space="0"/>
              <w:left w:val="single" w:color="auto" w:sz="4" w:space="0"/>
              <w:bottom w:val="single" w:color="auto" w:sz="4" w:space="0"/>
              <w:right w:val="single" w:color="auto" w:sz="4" w:space="0"/>
            </w:tcBorders>
            <w:vAlign w:val="center"/>
          </w:tcPr>
          <w:p w14:paraId="53E434B9">
            <w:pPr>
              <w:spacing w:after="0" w:line="240" w:lineRule="auto"/>
              <w:rPr>
                <w:rFonts w:ascii="Times New Roman" w:hAnsi="Times New Roman" w:cs="Times New Roman"/>
                <w:sz w:val="20"/>
                <w:szCs w:val="20"/>
              </w:rPr>
            </w:pPr>
            <w:r>
              <w:drawing>
                <wp:inline distT="0" distB="0" distL="0" distR="0">
                  <wp:extent cx="691515" cy="627380"/>
                  <wp:effectExtent l="0" t="0" r="0" b="1270"/>
                  <wp:docPr id="18" name="Picture 18" descr="C:\Users\SAM TUGA\OneDrive\Desktop\Inspection Pic 2026\WhatsApp Image 2026-04-29 at 11.00.50.jpeg"/>
                  <wp:cNvGraphicFramePr/>
                  <a:graphic xmlns:a="http://schemas.openxmlformats.org/drawingml/2006/main">
                    <a:graphicData uri="http://schemas.openxmlformats.org/drawingml/2006/picture">
                      <pic:pic xmlns:pic="http://schemas.openxmlformats.org/drawingml/2006/picture">
                        <pic:nvPicPr>
                          <pic:cNvPr id="18" name="Picture 18" descr="C:\Users\SAM TUGA\OneDrive\Desktop\Inspection Pic 2026\WhatsApp Image 2026-04-29 at 11.00.50.jpeg"/>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714412" cy="647921"/>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4C775FF">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2306B1D9">
            <w:pPr>
              <w:spacing w:line="240" w:lineRule="auto"/>
              <w:jc w:val="both"/>
              <w:rPr>
                <w:rFonts w:ascii="Times New Roman" w:hAnsi="Times New Roman" w:cs="Times New Roman"/>
                <w:sz w:val="20"/>
                <w:szCs w:val="20"/>
                <w:lang w:val="en-GB" w:eastAsia="en-GB"/>
              </w:rPr>
            </w:pPr>
          </w:p>
        </w:tc>
      </w:tr>
      <w:tr w14:paraId="5843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23F684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5912478">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Support implementation of Community Led Total Sanitation</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C30E8E8">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2B63F9E7">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123,173.01</w:t>
            </w:r>
          </w:p>
        </w:tc>
        <w:tc>
          <w:tcPr>
            <w:tcW w:w="1251" w:type="dxa"/>
            <w:tcBorders>
              <w:top w:val="single" w:color="auto" w:sz="4" w:space="0"/>
              <w:left w:val="single" w:color="auto" w:sz="4" w:space="0"/>
              <w:bottom w:val="single" w:color="auto" w:sz="4" w:space="0"/>
              <w:right w:val="single" w:color="auto" w:sz="4" w:space="0"/>
            </w:tcBorders>
            <w:vAlign w:val="center"/>
          </w:tcPr>
          <w:p w14:paraId="3576E2DE">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2CEA313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F6F11A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30410A0">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123,173.01</w:t>
            </w:r>
          </w:p>
        </w:tc>
        <w:tc>
          <w:tcPr>
            <w:tcW w:w="1276" w:type="dxa"/>
            <w:tcBorders>
              <w:top w:val="single" w:color="auto" w:sz="4" w:space="0"/>
              <w:left w:val="single" w:color="auto" w:sz="4" w:space="0"/>
              <w:bottom w:val="single" w:color="auto" w:sz="4" w:space="0"/>
              <w:right w:val="single" w:color="auto" w:sz="4" w:space="0"/>
            </w:tcBorders>
            <w:vAlign w:val="center"/>
          </w:tcPr>
          <w:p w14:paraId="5DFE9A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B751CF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6E4B2CE">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EAC4D79">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324DD1F">
            <w:pPr>
              <w:spacing w:line="240" w:lineRule="auto"/>
              <w:jc w:val="both"/>
              <w:rPr>
                <w:rFonts w:ascii="Times New Roman" w:hAnsi="Times New Roman" w:cs="Times New Roman"/>
                <w:sz w:val="20"/>
                <w:szCs w:val="20"/>
                <w:lang w:val="en-GB" w:eastAsia="en-GB"/>
              </w:rPr>
            </w:pPr>
          </w:p>
        </w:tc>
      </w:tr>
      <w:tr w14:paraId="562E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7DCA79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7166383">
            <w:pPr>
              <w:spacing w:before="100" w:beforeAutospacing="1"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Conduct sensitization on WASH activities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0F464A5">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AC5CF6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93173.01</w:t>
            </w:r>
          </w:p>
        </w:tc>
        <w:tc>
          <w:tcPr>
            <w:tcW w:w="1251" w:type="dxa"/>
            <w:tcBorders>
              <w:top w:val="single" w:color="auto" w:sz="4" w:space="0"/>
              <w:left w:val="single" w:color="auto" w:sz="4" w:space="0"/>
              <w:bottom w:val="single" w:color="auto" w:sz="4" w:space="0"/>
              <w:right w:val="single" w:color="auto" w:sz="4" w:space="0"/>
            </w:tcBorders>
            <w:vAlign w:val="center"/>
          </w:tcPr>
          <w:p w14:paraId="71B37F5B">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0E29C27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315309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EF6960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93173.01</w:t>
            </w:r>
          </w:p>
        </w:tc>
        <w:tc>
          <w:tcPr>
            <w:tcW w:w="1276" w:type="dxa"/>
            <w:tcBorders>
              <w:top w:val="single" w:color="auto" w:sz="4" w:space="0"/>
              <w:left w:val="single" w:color="auto" w:sz="4" w:space="0"/>
              <w:bottom w:val="single" w:color="auto" w:sz="4" w:space="0"/>
              <w:right w:val="single" w:color="auto" w:sz="4" w:space="0"/>
            </w:tcBorders>
            <w:vAlign w:val="center"/>
          </w:tcPr>
          <w:p w14:paraId="24E778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25,000.00</w:t>
            </w:r>
          </w:p>
        </w:tc>
        <w:tc>
          <w:tcPr>
            <w:tcW w:w="757" w:type="dxa"/>
            <w:tcBorders>
              <w:top w:val="single" w:color="auto" w:sz="4" w:space="0"/>
              <w:left w:val="single" w:color="auto" w:sz="4" w:space="0"/>
              <w:bottom w:val="single" w:color="auto" w:sz="4" w:space="0"/>
              <w:right w:val="single" w:color="auto" w:sz="4" w:space="0"/>
            </w:tcBorders>
            <w:vAlign w:val="center"/>
          </w:tcPr>
          <w:p w14:paraId="5F0EF85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5C593495">
            <w:pPr>
              <w:spacing w:after="0" w:line="240" w:lineRule="auto"/>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5432D5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D2E598F">
            <w:pPr>
              <w:spacing w:line="240" w:lineRule="auto"/>
              <w:jc w:val="both"/>
              <w:rPr>
                <w:rFonts w:ascii="Times New Roman" w:hAnsi="Times New Roman" w:cs="Times New Roman"/>
                <w:sz w:val="20"/>
                <w:szCs w:val="20"/>
                <w:lang w:val="en-GB" w:eastAsia="en-GB"/>
              </w:rPr>
            </w:pPr>
          </w:p>
        </w:tc>
      </w:tr>
      <w:tr w14:paraId="5F73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9BCAF7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6A3D3DA">
            <w:pPr>
              <w:spacing w:before="100" w:beforeAutospacing="1"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Organise National Sanitation Day</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6031C73">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006741D8">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143,173.04</w:t>
            </w:r>
          </w:p>
        </w:tc>
        <w:tc>
          <w:tcPr>
            <w:tcW w:w="1251" w:type="dxa"/>
            <w:tcBorders>
              <w:top w:val="single" w:color="auto" w:sz="4" w:space="0"/>
              <w:left w:val="single" w:color="auto" w:sz="4" w:space="0"/>
              <w:bottom w:val="single" w:color="auto" w:sz="4" w:space="0"/>
              <w:right w:val="single" w:color="auto" w:sz="4" w:space="0"/>
            </w:tcBorders>
            <w:vAlign w:val="center"/>
          </w:tcPr>
          <w:p w14:paraId="1455BBAF">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380DF59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A93F2A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8D12804">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143,173.04</w:t>
            </w:r>
          </w:p>
        </w:tc>
        <w:tc>
          <w:tcPr>
            <w:tcW w:w="1276" w:type="dxa"/>
            <w:tcBorders>
              <w:top w:val="single" w:color="auto" w:sz="4" w:space="0"/>
              <w:left w:val="single" w:color="auto" w:sz="4" w:space="0"/>
              <w:bottom w:val="single" w:color="auto" w:sz="4" w:space="0"/>
              <w:right w:val="single" w:color="auto" w:sz="4" w:space="0"/>
            </w:tcBorders>
            <w:vAlign w:val="center"/>
          </w:tcPr>
          <w:p w14:paraId="3AF90D8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64,000.00</w:t>
            </w:r>
          </w:p>
        </w:tc>
        <w:tc>
          <w:tcPr>
            <w:tcW w:w="757" w:type="dxa"/>
            <w:tcBorders>
              <w:top w:val="single" w:color="auto" w:sz="4" w:space="0"/>
              <w:left w:val="single" w:color="auto" w:sz="4" w:space="0"/>
              <w:bottom w:val="single" w:color="auto" w:sz="4" w:space="0"/>
              <w:right w:val="single" w:color="auto" w:sz="4" w:space="0"/>
            </w:tcBorders>
            <w:vAlign w:val="center"/>
          </w:tcPr>
          <w:p w14:paraId="7F87BE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5A3BD32">
            <w:pPr>
              <w:spacing w:after="0" w:line="240" w:lineRule="auto"/>
              <w:rPr>
                <w:rFonts w:ascii="Times New Roman" w:hAnsi="Times New Roman" w:cs="Times New Roman"/>
                <w:sz w:val="20"/>
                <w:szCs w:val="20"/>
              </w:rPr>
            </w:pPr>
            <w:r>
              <w:drawing>
                <wp:inline distT="0" distB="0" distL="0" distR="0">
                  <wp:extent cx="683260" cy="721995"/>
                  <wp:effectExtent l="0" t="0" r="2540" b="1905"/>
                  <wp:docPr id="915901448" name="Picture 915901448" descr="C:\Users\SAM TUGA\AppData\Local\Packages\5319275A.WhatsAppDesktop_cv1g1gvanyjgm\LocalState\sessions\16D8D9F1904F7A59A7118290E794AC2DEA5E1B05\transfers\2026-06\WhatsApp Image 2026-02-09 at 10.12.21.jpeg"/>
                  <wp:cNvGraphicFramePr/>
                  <a:graphic xmlns:a="http://schemas.openxmlformats.org/drawingml/2006/main">
                    <a:graphicData uri="http://schemas.openxmlformats.org/drawingml/2006/picture">
                      <pic:pic xmlns:pic="http://schemas.openxmlformats.org/drawingml/2006/picture">
                        <pic:nvPicPr>
                          <pic:cNvPr id="915901448" name="Picture 915901448" descr="C:\Users\SAM TUGA\AppData\Local\Packages\5319275A.WhatsAppDesktop_cv1g1gvanyjgm\LocalState\sessions\16D8D9F1904F7A59A7118290E794AC2DEA5E1B05\transfers\2026-06\WhatsApp Image 2026-02-09 at 10.12.21.jpeg"/>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698754" cy="738367"/>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59DD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4411298">
            <w:pPr>
              <w:spacing w:line="240" w:lineRule="auto"/>
              <w:jc w:val="both"/>
              <w:rPr>
                <w:rFonts w:ascii="Times New Roman" w:hAnsi="Times New Roman" w:cs="Times New Roman"/>
                <w:sz w:val="20"/>
                <w:szCs w:val="20"/>
                <w:lang w:val="en-GB" w:eastAsia="en-GB"/>
              </w:rPr>
            </w:pPr>
          </w:p>
        </w:tc>
      </w:tr>
      <w:tr w14:paraId="50D3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0F9E81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E4A13DF">
            <w:pPr>
              <w:spacing w:before="100" w:beforeAutospacing="1"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Procure 10No. refuse containers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AE93777">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001A7F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440,663.33</w:t>
            </w:r>
          </w:p>
        </w:tc>
        <w:tc>
          <w:tcPr>
            <w:tcW w:w="1251" w:type="dxa"/>
            <w:tcBorders>
              <w:top w:val="single" w:color="auto" w:sz="4" w:space="0"/>
              <w:left w:val="single" w:color="auto" w:sz="4" w:space="0"/>
              <w:bottom w:val="single" w:color="auto" w:sz="4" w:space="0"/>
              <w:right w:val="single" w:color="auto" w:sz="4" w:space="0"/>
            </w:tcBorders>
            <w:vAlign w:val="center"/>
          </w:tcPr>
          <w:p w14:paraId="6A95C9D4">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0F6CCA1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B90D84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EC5D70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440,663.33</w:t>
            </w:r>
          </w:p>
        </w:tc>
        <w:tc>
          <w:tcPr>
            <w:tcW w:w="1276" w:type="dxa"/>
            <w:tcBorders>
              <w:top w:val="single" w:color="auto" w:sz="4" w:space="0"/>
              <w:left w:val="single" w:color="auto" w:sz="4" w:space="0"/>
              <w:bottom w:val="single" w:color="auto" w:sz="4" w:space="0"/>
              <w:right w:val="single" w:color="auto" w:sz="4" w:space="0"/>
            </w:tcBorders>
            <w:vAlign w:val="center"/>
          </w:tcPr>
          <w:p w14:paraId="66D84E49">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3403FAE">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2D7C50A">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AAEC768">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E24B228">
            <w:pPr>
              <w:spacing w:line="240" w:lineRule="auto"/>
              <w:jc w:val="both"/>
              <w:rPr>
                <w:rFonts w:ascii="Times New Roman" w:hAnsi="Times New Roman" w:cs="Times New Roman"/>
                <w:sz w:val="20"/>
                <w:szCs w:val="20"/>
                <w:lang w:val="en-GB" w:eastAsia="en-GB"/>
              </w:rPr>
            </w:pPr>
          </w:p>
        </w:tc>
      </w:tr>
      <w:tr w14:paraId="4EEF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8FEB91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F0EB1CB">
            <w:pPr>
              <w:spacing w:before="100" w:beforeAutospacing="1"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Regularly dislodge all institutions and public toilets</w:t>
            </w:r>
            <w:r>
              <w:rPr>
                <w:rFonts w:ascii="Times New Roman" w:hAnsi="Times New Roman" w:cs="Times New Roman"/>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31C792D0">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057F5C6">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270,640.46</w:t>
            </w:r>
          </w:p>
        </w:tc>
        <w:tc>
          <w:tcPr>
            <w:tcW w:w="1251" w:type="dxa"/>
            <w:tcBorders>
              <w:top w:val="single" w:color="auto" w:sz="4" w:space="0"/>
              <w:left w:val="single" w:color="auto" w:sz="4" w:space="0"/>
              <w:bottom w:val="single" w:color="auto" w:sz="4" w:space="0"/>
              <w:right w:val="single" w:color="auto" w:sz="4" w:space="0"/>
            </w:tcBorders>
            <w:vAlign w:val="center"/>
          </w:tcPr>
          <w:p w14:paraId="597CA051">
            <w:pPr>
              <w:spacing w:line="240" w:lineRule="auto"/>
              <w:jc w:val="center"/>
              <w:rPr>
                <w:rFonts w:ascii="Times New Roman" w:hAnsi="Times New Roman" w:cs="Times New Roman"/>
                <w:sz w:val="20"/>
                <w:szCs w:val="20"/>
              </w:rPr>
            </w:pPr>
            <w:r>
              <w:rPr>
                <w:rFonts w:ascii="Times New Roman" w:hAnsi="Times New Roman" w:cs="Times New Roman"/>
                <w:sz w:val="20"/>
                <w:szCs w:val="20"/>
              </w:rPr>
              <w:t>IGF/DACF</w:t>
            </w:r>
          </w:p>
        </w:tc>
        <w:tc>
          <w:tcPr>
            <w:tcW w:w="992" w:type="dxa"/>
            <w:tcBorders>
              <w:top w:val="single" w:color="auto" w:sz="4" w:space="0"/>
              <w:left w:val="single" w:color="auto" w:sz="4" w:space="0"/>
              <w:bottom w:val="single" w:color="auto" w:sz="4" w:space="0"/>
              <w:right w:val="single" w:color="auto" w:sz="4" w:space="0"/>
            </w:tcBorders>
            <w:vAlign w:val="center"/>
          </w:tcPr>
          <w:p w14:paraId="1D1F392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1DFDB4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3EB9A98">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270,640.46</w:t>
            </w:r>
          </w:p>
        </w:tc>
        <w:tc>
          <w:tcPr>
            <w:tcW w:w="1276" w:type="dxa"/>
            <w:tcBorders>
              <w:top w:val="single" w:color="auto" w:sz="4" w:space="0"/>
              <w:left w:val="single" w:color="auto" w:sz="4" w:space="0"/>
              <w:bottom w:val="single" w:color="auto" w:sz="4" w:space="0"/>
              <w:right w:val="single" w:color="auto" w:sz="4" w:space="0"/>
            </w:tcBorders>
            <w:vAlign w:val="center"/>
          </w:tcPr>
          <w:p w14:paraId="5096795B">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7BA847B">
            <w:pPr>
              <w:spacing w:line="240" w:lineRule="auto"/>
              <w:jc w:val="center"/>
              <w:rPr>
                <w:rFonts w:ascii="Times New Roman" w:hAnsi="Times New Roman" w:cs="Times New Roman"/>
                <w:sz w:val="20"/>
                <w:szCs w:val="20"/>
              </w:rPr>
            </w:pPr>
            <w:r>
              <w:rPr>
                <w:rFonts w:ascii="Times New Roman" w:hAnsi="Times New Roman" w:cs="Times New Roman"/>
                <w:sz w:val="20"/>
                <w:szCs w:val="20"/>
                <w:lang w:val="zh-CN"/>
              </w:rPr>
              <w:t>25</w:t>
            </w:r>
            <w:r>
              <w:rPr>
                <w:rFonts w:ascii="Times New Roman" w:hAnsi="Times New Roman" w:cs="Times New Roman"/>
                <w:sz w:val="20"/>
                <w:szCs w:val="20"/>
              </w:rPr>
              <w:t>%</w:t>
            </w:r>
          </w:p>
        </w:tc>
        <w:tc>
          <w:tcPr>
            <w:tcW w:w="1212" w:type="dxa"/>
            <w:tcBorders>
              <w:top w:val="single" w:color="auto" w:sz="4" w:space="0"/>
              <w:left w:val="single" w:color="auto" w:sz="4" w:space="0"/>
              <w:bottom w:val="single" w:color="auto" w:sz="4" w:space="0"/>
              <w:right w:val="single" w:color="auto" w:sz="4" w:space="0"/>
            </w:tcBorders>
            <w:vAlign w:val="center"/>
          </w:tcPr>
          <w:p w14:paraId="09793628">
            <w:pPr>
              <w:spacing w:after="0" w:line="240" w:lineRule="auto"/>
              <w:rPr>
                <w:rFonts w:ascii="Times New Roman" w:hAnsi="Times New Roman" w:cs="Times New Roman"/>
                <w:sz w:val="20"/>
                <w:szCs w:val="20"/>
              </w:rPr>
            </w:pPr>
            <w:r>
              <w:rPr>
                <w:rFonts w:ascii="Calibri" w:hAnsi="Calibri" w:eastAsia="Calibri" w:cs="Times New Roman"/>
                <w:lang w:val="zh-CN"/>
              </w:rPr>
              <w:drawing>
                <wp:inline distT="0" distB="0" distL="0" distR="0">
                  <wp:extent cx="659765" cy="645795"/>
                  <wp:effectExtent l="0" t="0" r="6985" b="1905"/>
                  <wp:docPr id="915901451" name="Picture 915901451" descr="C:\Users\SAM TUGA\OneDrive\Desktop\Inspection Pic 2026\WhatsApp Image 2026-04-29 at 11.00.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51" name="Picture 915901451" descr="C:\Users\SAM TUGA\OneDrive\Desktop\Inspection Pic 2026\WhatsApp Image 2026-04-29 at 11.00.50 (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667667" cy="653530"/>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A1F5D59">
            <w:pPr>
              <w:spacing w:line="240" w:lineRule="auto"/>
              <w:jc w:val="center"/>
              <w:rPr>
                <w:rFonts w:ascii="Times New Roman" w:hAnsi="Times New Roman" w:cs="Times New Roman"/>
                <w:sz w:val="20"/>
                <w:szCs w:val="20"/>
                <w:lang w:val="zh-CN"/>
              </w:rPr>
            </w:pPr>
            <w:r>
              <w:rPr>
                <w:rFonts w:ascii="Times New Roman" w:hAnsi="Times New Roman" w:cs="Times New Roman"/>
                <w:sz w:val="20"/>
                <w:szCs w:val="20"/>
                <w:lang w:val="zh-CN"/>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04CD760">
            <w:pPr>
              <w:spacing w:line="240" w:lineRule="auto"/>
              <w:jc w:val="both"/>
              <w:rPr>
                <w:rFonts w:ascii="Times New Roman" w:hAnsi="Times New Roman" w:cs="Times New Roman"/>
                <w:sz w:val="20"/>
                <w:szCs w:val="20"/>
                <w:lang w:val="en-GB" w:eastAsia="en-GB"/>
              </w:rPr>
            </w:pPr>
          </w:p>
        </w:tc>
      </w:tr>
      <w:tr w14:paraId="3700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4011FCE">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A2E0DE2">
            <w:pPr>
              <w:spacing w:before="100" w:beforeAutospacing="1"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Procurement of land for the establishment of the assembly cemetery</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3D76E17">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AA7642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316,600.00</w:t>
            </w:r>
          </w:p>
        </w:tc>
        <w:tc>
          <w:tcPr>
            <w:tcW w:w="1251" w:type="dxa"/>
            <w:tcBorders>
              <w:top w:val="single" w:color="auto" w:sz="4" w:space="0"/>
              <w:left w:val="single" w:color="auto" w:sz="4" w:space="0"/>
              <w:bottom w:val="single" w:color="auto" w:sz="4" w:space="0"/>
              <w:right w:val="single" w:color="auto" w:sz="4" w:space="0"/>
            </w:tcBorders>
            <w:vAlign w:val="center"/>
          </w:tcPr>
          <w:p w14:paraId="62B96F4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EEDD09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468826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86091C0">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316,600.00</w:t>
            </w:r>
          </w:p>
        </w:tc>
        <w:tc>
          <w:tcPr>
            <w:tcW w:w="1276" w:type="dxa"/>
            <w:tcBorders>
              <w:top w:val="single" w:color="auto" w:sz="4" w:space="0"/>
              <w:left w:val="single" w:color="auto" w:sz="4" w:space="0"/>
              <w:bottom w:val="single" w:color="auto" w:sz="4" w:space="0"/>
              <w:right w:val="single" w:color="auto" w:sz="4" w:space="0"/>
            </w:tcBorders>
            <w:vAlign w:val="center"/>
          </w:tcPr>
          <w:p w14:paraId="6BC439C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1E98EFD">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81F57F3">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57DEF8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0B5AD740">
            <w:pPr>
              <w:spacing w:line="240" w:lineRule="auto"/>
              <w:jc w:val="both"/>
              <w:rPr>
                <w:rFonts w:ascii="Times New Roman" w:hAnsi="Times New Roman" w:cs="Times New Roman"/>
                <w:sz w:val="20"/>
                <w:szCs w:val="20"/>
                <w:lang w:val="en-GB" w:eastAsia="en-GB"/>
              </w:rPr>
            </w:pPr>
          </w:p>
        </w:tc>
      </w:tr>
      <w:tr w14:paraId="6F34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27F4A398">
            <w:pPr>
              <w:spacing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SOCIAL WELFARE &amp; COMMUNITY DEVELOPMENT</w:t>
            </w:r>
          </w:p>
        </w:tc>
      </w:tr>
      <w:tr w14:paraId="0759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69CC84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7BC9413">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Reassess, Monitor, Educate, and Facilitate the implementation of LEAP Activities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8898AE5">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4FA265E8">
            <w:pPr>
              <w:spacing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46,200.00</w:t>
            </w:r>
          </w:p>
        </w:tc>
        <w:tc>
          <w:tcPr>
            <w:tcW w:w="1251" w:type="dxa"/>
            <w:tcBorders>
              <w:top w:val="single" w:color="auto" w:sz="4" w:space="0"/>
              <w:left w:val="single" w:color="auto" w:sz="4" w:space="0"/>
              <w:bottom w:val="single" w:color="auto" w:sz="4" w:space="0"/>
              <w:right w:val="single" w:color="auto" w:sz="4" w:space="0"/>
            </w:tcBorders>
            <w:vAlign w:val="center"/>
          </w:tcPr>
          <w:p w14:paraId="242C52B8">
            <w:pPr>
              <w:spacing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World Bank</w:t>
            </w:r>
          </w:p>
        </w:tc>
        <w:tc>
          <w:tcPr>
            <w:tcW w:w="992" w:type="dxa"/>
            <w:tcBorders>
              <w:top w:val="single" w:color="auto" w:sz="4" w:space="0"/>
              <w:left w:val="single" w:color="auto" w:sz="4" w:space="0"/>
              <w:bottom w:val="single" w:color="auto" w:sz="4" w:space="0"/>
              <w:right w:val="single" w:color="auto" w:sz="4" w:space="0"/>
            </w:tcBorders>
            <w:vAlign w:val="center"/>
          </w:tcPr>
          <w:p w14:paraId="536E23BA">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 2026</w:t>
            </w:r>
          </w:p>
        </w:tc>
        <w:tc>
          <w:tcPr>
            <w:tcW w:w="992" w:type="dxa"/>
            <w:tcBorders>
              <w:top w:val="single" w:color="auto" w:sz="4" w:space="0"/>
              <w:left w:val="single" w:color="auto" w:sz="4" w:space="0"/>
              <w:bottom w:val="single" w:color="auto" w:sz="4" w:space="0"/>
              <w:right w:val="single" w:color="auto" w:sz="4" w:space="0"/>
            </w:tcBorders>
            <w:vAlign w:val="center"/>
          </w:tcPr>
          <w:p w14:paraId="435D69F7">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1B708F0">
            <w:pPr>
              <w:spacing w:line="240" w:lineRule="auto"/>
              <w:jc w:val="center"/>
              <w:rPr>
                <w:rFonts w:ascii="Times New Roman" w:hAnsi="Times New Roman" w:eastAsia="Times New Roman" w:cs="Times New Roman"/>
                <w:bCs/>
                <w:sz w:val="20"/>
                <w:szCs w:val="20"/>
              </w:rPr>
            </w:pPr>
            <w:r>
              <w:rPr>
                <w:rFonts w:ascii="Times New Roman" w:hAnsi="Times New Roman" w:eastAsia="Calibri" w:cs="Times New Roman"/>
                <w:sz w:val="20"/>
                <w:szCs w:val="20"/>
              </w:rPr>
              <w:t>46,200.00</w:t>
            </w:r>
          </w:p>
        </w:tc>
        <w:tc>
          <w:tcPr>
            <w:tcW w:w="1276" w:type="dxa"/>
            <w:tcBorders>
              <w:top w:val="single" w:color="auto" w:sz="4" w:space="0"/>
              <w:left w:val="single" w:color="auto" w:sz="4" w:space="0"/>
              <w:bottom w:val="single" w:color="auto" w:sz="4" w:space="0"/>
              <w:right w:val="single" w:color="auto" w:sz="4" w:space="0"/>
            </w:tcBorders>
            <w:vAlign w:val="center"/>
          </w:tcPr>
          <w:p w14:paraId="15DEC1B9">
            <w:pPr>
              <w:spacing w:line="240" w:lineRule="auto"/>
              <w:jc w:val="center"/>
              <w:rPr>
                <w:rFonts w:ascii="Times New Roman" w:hAnsi="Times New Roman" w:eastAsia="Calibri" w:cs="Times New Roman"/>
                <w:sz w:val="20"/>
                <w:szCs w:val="20"/>
              </w:rPr>
            </w:pPr>
          </w:p>
          <w:p w14:paraId="1DBA844A">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val="en-GB" w:eastAsia="en-GB"/>
              </w:rPr>
              <w:t>46,200.00</w:t>
            </w:r>
          </w:p>
        </w:tc>
        <w:tc>
          <w:tcPr>
            <w:tcW w:w="757" w:type="dxa"/>
            <w:tcBorders>
              <w:top w:val="single" w:color="auto" w:sz="4" w:space="0"/>
              <w:left w:val="single" w:color="auto" w:sz="4" w:space="0"/>
              <w:bottom w:val="single" w:color="auto" w:sz="4" w:space="0"/>
              <w:right w:val="single" w:color="auto" w:sz="4" w:space="0"/>
            </w:tcBorders>
            <w:vAlign w:val="center"/>
          </w:tcPr>
          <w:p w14:paraId="1771D98F">
            <w:pPr>
              <w:spacing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lang w:eastAsia="en-GB"/>
              </w:rPr>
              <w:t>50</w:t>
            </w:r>
            <w:r>
              <w:rPr>
                <w:rFonts w:ascii="Times New Roman" w:hAnsi="Times New Roman" w:cs="Times New Roman"/>
                <w:sz w:val="20"/>
                <w:szCs w:val="20"/>
                <w:lang w:val="en-GB" w:eastAsia="en-GB"/>
              </w:rPr>
              <w:t>%</w:t>
            </w:r>
          </w:p>
        </w:tc>
        <w:tc>
          <w:tcPr>
            <w:tcW w:w="1212" w:type="dxa"/>
            <w:tcBorders>
              <w:top w:val="single" w:color="auto" w:sz="4" w:space="0"/>
              <w:left w:val="single" w:color="auto" w:sz="4" w:space="0"/>
              <w:bottom w:val="single" w:color="auto" w:sz="4" w:space="0"/>
              <w:right w:val="single" w:color="auto" w:sz="4" w:space="0"/>
            </w:tcBorders>
            <w:vAlign w:val="center"/>
          </w:tcPr>
          <w:p w14:paraId="05B41227">
            <w:pPr>
              <w:spacing w:line="240" w:lineRule="auto"/>
              <w:jc w:val="center"/>
              <w:rPr>
                <w:rFonts w:ascii="Times New Roman" w:hAnsi="Times New Roman" w:cs="Times New Roman"/>
                <w:sz w:val="20"/>
                <w:szCs w:val="20"/>
                <w:lang w:val="en-GB" w:eastAsia="en-GB"/>
              </w:rPr>
            </w:pPr>
            <w:r>
              <w:rPr>
                <w:rFonts w:ascii="Times New Roman" w:hAnsi="Times New Roman" w:eastAsia="Calibri" w:cs="Times New Roman"/>
                <w:sz w:val="20"/>
                <w:szCs w:val="20"/>
              </w:rPr>
              <w:drawing>
                <wp:inline distT="0" distB="0" distL="0" distR="0">
                  <wp:extent cx="673100" cy="9404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673100" cy="940435"/>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82915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0B278D01">
            <w:pPr>
              <w:spacing w:line="240" w:lineRule="auto"/>
              <w:jc w:val="both"/>
              <w:rPr>
                <w:rFonts w:ascii="Times New Roman" w:hAnsi="Times New Roman" w:cs="Times New Roman"/>
                <w:sz w:val="20"/>
                <w:szCs w:val="20"/>
                <w:lang w:val="en-GB" w:eastAsia="en-GB"/>
              </w:rPr>
            </w:pPr>
          </w:p>
        </w:tc>
      </w:tr>
      <w:tr w14:paraId="34C9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0FD9F3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CD1D74D">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Disbursement of Disability Common Fund to support in these areas; Health, Education, Assistive device, Start-Up Kits, Start-Capital, Apprenticeship training, Skill Training, Capacity building workshop and PWDs organizations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93D620B">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02E70067">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573,421.62</w:t>
            </w:r>
          </w:p>
        </w:tc>
        <w:tc>
          <w:tcPr>
            <w:tcW w:w="1251" w:type="dxa"/>
            <w:tcBorders>
              <w:top w:val="single" w:color="auto" w:sz="4" w:space="0"/>
              <w:left w:val="single" w:color="auto" w:sz="4" w:space="0"/>
              <w:bottom w:val="single" w:color="auto" w:sz="4" w:space="0"/>
              <w:right w:val="single" w:color="auto" w:sz="4" w:space="0"/>
            </w:tcBorders>
            <w:vAlign w:val="center"/>
          </w:tcPr>
          <w:p w14:paraId="73071448">
            <w:pPr>
              <w:spacing w:line="240" w:lineRule="auto"/>
              <w:jc w:val="center"/>
              <w:rPr>
                <w:rFonts w:ascii="Times New Roman" w:hAnsi="Times New Roman" w:cs="Times New Roman"/>
                <w:sz w:val="20"/>
                <w:szCs w:val="20"/>
              </w:rPr>
            </w:pPr>
            <w:r>
              <w:rPr>
                <w:rFonts w:ascii="Times New Roman" w:hAnsi="Times New Roman" w:cs="Times New Roman"/>
                <w:sz w:val="20"/>
                <w:szCs w:val="20"/>
              </w:rPr>
              <w:t>DACF-PWD</w:t>
            </w:r>
          </w:p>
        </w:tc>
        <w:tc>
          <w:tcPr>
            <w:tcW w:w="992" w:type="dxa"/>
            <w:tcBorders>
              <w:top w:val="single" w:color="auto" w:sz="4" w:space="0"/>
              <w:left w:val="single" w:color="auto" w:sz="4" w:space="0"/>
              <w:bottom w:val="single" w:color="auto" w:sz="4" w:space="0"/>
              <w:right w:val="single" w:color="auto" w:sz="4" w:space="0"/>
            </w:tcBorders>
            <w:vAlign w:val="center"/>
          </w:tcPr>
          <w:p w14:paraId="71A1F615">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D6A71FF">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7A432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6141BE1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225F04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15%</w:t>
            </w:r>
          </w:p>
        </w:tc>
        <w:tc>
          <w:tcPr>
            <w:tcW w:w="1212" w:type="dxa"/>
            <w:tcBorders>
              <w:top w:val="single" w:color="auto" w:sz="4" w:space="0"/>
              <w:left w:val="single" w:color="auto" w:sz="4" w:space="0"/>
              <w:bottom w:val="single" w:color="auto" w:sz="4" w:space="0"/>
              <w:right w:val="single" w:color="auto" w:sz="4" w:space="0"/>
            </w:tcBorders>
            <w:vAlign w:val="center"/>
          </w:tcPr>
          <w:p w14:paraId="747F22DD">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850900" cy="977900"/>
                  <wp:effectExtent l="0" t="0" r="635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853566" cy="980820"/>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C69610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01BC6DB7">
            <w:pPr>
              <w:spacing w:line="240" w:lineRule="auto"/>
              <w:jc w:val="both"/>
              <w:rPr>
                <w:rFonts w:ascii="Times New Roman" w:hAnsi="Times New Roman" w:cs="Times New Roman"/>
                <w:sz w:val="20"/>
                <w:szCs w:val="20"/>
                <w:lang w:val="en-GB" w:eastAsia="en-GB"/>
              </w:rPr>
            </w:pPr>
          </w:p>
        </w:tc>
      </w:tr>
      <w:tr w14:paraId="0458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9A4025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3FB5CA9">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Register, Enroll PWDs on NHIS and Monitor activities of PWDs</w:t>
            </w:r>
            <w:r>
              <w:rPr>
                <w:rFonts w:ascii="Times New Roman" w:hAnsi="Times New Roman" w:cs="Times New Roman"/>
                <w:bCs/>
                <w:sz w:val="20"/>
                <w:szCs w:val="20"/>
              </w:rPr>
              <w:t xml:space="preserve"> with emphasis on adolescent age group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D1EA60C">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BD4EE5A">
            <w:pPr>
              <w:spacing w:before="100" w:beforeAutospacing="1" w:line="240" w:lineRule="auto"/>
              <w:jc w:val="center"/>
              <w:rPr>
                <w:rFonts w:ascii="Times New Roman" w:hAnsi="Times New Roman" w:cs="Times New Roman"/>
                <w:sz w:val="20"/>
                <w:szCs w:val="20"/>
              </w:rPr>
            </w:pPr>
            <w:r>
              <w:rPr>
                <w:rFonts w:ascii="Times New Roman" w:hAnsi="Times New Roman" w:eastAsia="Calibri" w:cs="Times New Roman"/>
                <w:sz w:val="20"/>
                <w:szCs w:val="20"/>
              </w:rPr>
              <w:t>100.000.00</w:t>
            </w:r>
          </w:p>
          <w:p w14:paraId="12C8E44A">
            <w:pPr>
              <w:spacing w:before="100" w:beforeAutospacing="1" w:line="240" w:lineRule="auto"/>
              <w:jc w:val="center"/>
              <w:rPr>
                <w:rFonts w:ascii="Times New Roman" w:hAnsi="Times New Roman" w:eastAsia="Calibri" w:cs="Times New Roman"/>
                <w:sz w:val="20"/>
                <w:szCs w:val="20"/>
              </w:rPr>
            </w:pPr>
          </w:p>
        </w:tc>
        <w:tc>
          <w:tcPr>
            <w:tcW w:w="1251" w:type="dxa"/>
            <w:tcBorders>
              <w:top w:val="single" w:color="auto" w:sz="4" w:space="0"/>
              <w:left w:val="single" w:color="auto" w:sz="4" w:space="0"/>
              <w:bottom w:val="single" w:color="auto" w:sz="4" w:space="0"/>
              <w:right w:val="single" w:color="auto" w:sz="4" w:space="0"/>
            </w:tcBorders>
            <w:vAlign w:val="center"/>
          </w:tcPr>
          <w:p w14:paraId="3FEAAC72">
            <w:pPr>
              <w:spacing w:line="240" w:lineRule="auto"/>
              <w:jc w:val="center"/>
              <w:rPr>
                <w:rFonts w:ascii="Times New Roman" w:hAnsi="Times New Roman" w:cs="Times New Roman"/>
                <w:sz w:val="20"/>
                <w:szCs w:val="20"/>
              </w:rPr>
            </w:pPr>
            <w:r>
              <w:rPr>
                <w:rFonts w:ascii="Times New Roman" w:hAnsi="Times New Roman" w:cs="Times New Roman"/>
                <w:sz w:val="20"/>
                <w:szCs w:val="20"/>
              </w:rPr>
              <w:t>DACF-PWD</w:t>
            </w:r>
          </w:p>
        </w:tc>
        <w:tc>
          <w:tcPr>
            <w:tcW w:w="992" w:type="dxa"/>
            <w:tcBorders>
              <w:top w:val="single" w:color="auto" w:sz="4" w:space="0"/>
              <w:left w:val="single" w:color="auto" w:sz="4" w:space="0"/>
              <w:bottom w:val="single" w:color="auto" w:sz="4" w:space="0"/>
              <w:right w:val="single" w:color="auto" w:sz="4" w:space="0"/>
            </w:tcBorders>
            <w:vAlign w:val="center"/>
          </w:tcPr>
          <w:p w14:paraId="28E668C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A4E928E">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35919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2C34C52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F7D429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3705C46">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795020" cy="672465"/>
                  <wp:effectExtent l="4127" t="0" r="0" b="0"/>
                  <wp:docPr id="1999851226" name="Picture 4"/>
                  <wp:cNvGraphicFramePr/>
                  <a:graphic xmlns:a="http://schemas.openxmlformats.org/drawingml/2006/main">
                    <a:graphicData uri="http://schemas.openxmlformats.org/drawingml/2006/picture">
                      <pic:pic xmlns:pic="http://schemas.openxmlformats.org/drawingml/2006/picture">
                        <pic:nvPicPr>
                          <pic:cNvPr id="1999851226" name="Picture 4"/>
                          <pic:cNvPicPr/>
                        </pic:nvPicPr>
                        <pic:blipFill>
                          <a:blip r:embed="rId45" cstate="print">
                            <a:extLst>
                              <a:ext uri="{28A0092B-C50C-407E-A947-70E740481C1C}">
                                <a14:useLocalDpi xmlns:a14="http://schemas.microsoft.com/office/drawing/2010/main" val="0"/>
                              </a:ext>
                            </a:extLst>
                          </a:blip>
                          <a:srcRect/>
                          <a:stretch>
                            <a:fillRect/>
                          </a:stretch>
                        </pic:blipFill>
                        <pic:spPr>
                          <a:xfrm rot="5400000">
                            <a:off x="0" y="0"/>
                            <a:ext cx="801151" cy="678234"/>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8908C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2C6D9E26">
            <w:pPr>
              <w:spacing w:line="240" w:lineRule="auto"/>
              <w:jc w:val="both"/>
              <w:rPr>
                <w:rFonts w:ascii="Times New Roman" w:hAnsi="Times New Roman" w:cs="Times New Roman"/>
                <w:sz w:val="20"/>
                <w:szCs w:val="20"/>
                <w:lang w:val="en-GB" w:eastAsia="en-GB"/>
              </w:rPr>
            </w:pPr>
          </w:p>
        </w:tc>
      </w:tr>
      <w:tr w14:paraId="173B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FD13FE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98E59A9">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Roll out of the Child Protection Tool Kits through community engagements and dialogue with emphasis on adolescent age group </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5129E2E">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164B393C">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5EDF6333">
            <w:pPr>
              <w:spacing w:line="240" w:lineRule="auto"/>
              <w:jc w:val="center"/>
              <w:rPr>
                <w:rFonts w:ascii="Times New Roman" w:hAnsi="Times New Roman" w:cs="Times New Roman"/>
                <w:sz w:val="20"/>
                <w:szCs w:val="20"/>
              </w:rPr>
            </w:pPr>
            <w:r>
              <w:rPr>
                <w:rFonts w:ascii="Times New Roman" w:hAnsi="Times New Roman" w:cs="Times New Roman"/>
                <w:sz w:val="20"/>
                <w:szCs w:val="20"/>
              </w:rPr>
              <w:t>GOG</w:t>
            </w:r>
          </w:p>
        </w:tc>
        <w:tc>
          <w:tcPr>
            <w:tcW w:w="992" w:type="dxa"/>
            <w:tcBorders>
              <w:top w:val="single" w:color="auto" w:sz="4" w:space="0"/>
              <w:left w:val="single" w:color="auto" w:sz="4" w:space="0"/>
              <w:bottom w:val="single" w:color="auto" w:sz="4" w:space="0"/>
              <w:right w:val="single" w:color="auto" w:sz="4" w:space="0"/>
            </w:tcBorders>
            <w:vAlign w:val="center"/>
          </w:tcPr>
          <w:p w14:paraId="3AED826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4B09251">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4EA12A7">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62DA79B7">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27C54A4">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6C81EC0">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6650794C">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84A58BD">
            <w:pPr>
              <w:spacing w:line="240" w:lineRule="auto"/>
              <w:jc w:val="both"/>
              <w:rPr>
                <w:rFonts w:ascii="Times New Roman" w:hAnsi="Times New Roman" w:cs="Times New Roman"/>
                <w:sz w:val="20"/>
                <w:szCs w:val="20"/>
                <w:lang w:val="en-GB" w:eastAsia="en-GB"/>
              </w:rPr>
            </w:pPr>
          </w:p>
        </w:tc>
      </w:tr>
      <w:tr w14:paraId="5DC1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0AF6E4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5272775">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Register, Supervise and Monitor activities of Day Care Centers in the district</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A21A923">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7862AAC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7C3FB437">
            <w:pPr>
              <w:spacing w:line="240" w:lineRule="auto"/>
              <w:jc w:val="center"/>
              <w:rPr>
                <w:rFonts w:ascii="Times New Roman" w:hAnsi="Times New Roman" w:cs="Times New Roman"/>
                <w:sz w:val="20"/>
                <w:szCs w:val="20"/>
              </w:rPr>
            </w:pPr>
            <w:r>
              <w:rPr>
                <w:rFonts w:ascii="Times New Roman" w:hAnsi="Times New Roman" w:cs="Times New Roman"/>
                <w:sz w:val="20"/>
                <w:szCs w:val="20"/>
              </w:rPr>
              <w:t>GOG</w:t>
            </w:r>
          </w:p>
        </w:tc>
        <w:tc>
          <w:tcPr>
            <w:tcW w:w="992" w:type="dxa"/>
            <w:tcBorders>
              <w:top w:val="single" w:color="auto" w:sz="4" w:space="0"/>
              <w:left w:val="single" w:color="auto" w:sz="4" w:space="0"/>
              <w:bottom w:val="single" w:color="auto" w:sz="4" w:space="0"/>
              <w:right w:val="single" w:color="auto" w:sz="4" w:space="0"/>
            </w:tcBorders>
            <w:vAlign w:val="center"/>
          </w:tcPr>
          <w:p w14:paraId="32F1AD4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C9123AD">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712AE77">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52BBE69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D8932A1">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367F7D1">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69B0902">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4B563C6">
            <w:pPr>
              <w:spacing w:line="240" w:lineRule="auto"/>
              <w:jc w:val="both"/>
              <w:rPr>
                <w:rFonts w:ascii="Times New Roman" w:hAnsi="Times New Roman" w:cs="Times New Roman"/>
                <w:sz w:val="20"/>
                <w:szCs w:val="20"/>
                <w:lang w:val="en-GB" w:eastAsia="en-GB"/>
              </w:rPr>
            </w:pPr>
          </w:p>
        </w:tc>
      </w:tr>
      <w:tr w14:paraId="1601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2440A1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7440858">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sensitization on Teenage Pregnancy</w:t>
            </w:r>
            <w:r>
              <w:rPr>
                <w:rFonts w:ascii="Times New Roman" w:hAnsi="Times New Roman" w:cs="Times New Roman"/>
                <w:bCs/>
                <w:sz w:val="20"/>
                <w:szCs w:val="20"/>
              </w:rPr>
              <w:t>, Sexual Harassment and domestic violence abuse, malaria prevention, mental health promotion, good nutrition, provision of psychosocial support for victims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800F8B4">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1851D7FA">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4,000.00</w:t>
            </w:r>
          </w:p>
        </w:tc>
        <w:tc>
          <w:tcPr>
            <w:tcW w:w="1251" w:type="dxa"/>
            <w:tcBorders>
              <w:top w:val="single" w:color="auto" w:sz="4" w:space="0"/>
              <w:left w:val="single" w:color="auto" w:sz="4" w:space="0"/>
              <w:bottom w:val="single" w:color="auto" w:sz="4" w:space="0"/>
              <w:right w:val="single" w:color="auto" w:sz="4" w:space="0"/>
            </w:tcBorders>
            <w:vAlign w:val="center"/>
          </w:tcPr>
          <w:p w14:paraId="16D74958">
            <w:pPr>
              <w:spacing w:line="240" w:lineRule="auto"/>
              <w:jc w:val="center"/>
              <w:rPr>
                <w:rFonts w:ascii="Times New Roman" w:hAnsi="Times New Roman" w:cs="Times New Roman"/>
                <w:sz w:val="20"/>
                <w:szCs w:val="20"/>
              </w:rPr>
            </w:pPr>
            <w:r>
              <w:rPr>
                <w:rFonts w:ascii="Times New Roman" w:hAnsi="Times New Roman" w:cs="Times New Roman"/>
                <w:sz w:val="20"/>
                <w:szCs w:val="20"/>
              </w:rPr>
              <w:t>GOG</w:t>
            </w:r>
          </w:p>
        </w:tc>
        <w:tc>
          <w:tcPr>
            <w:tcW w:w="992" w:type="dxa"/>
            <w:tcBorders>
              <w:top w:val="single" w:color="auto" w:sz="4" w:space="0"/>
              <w:left w:val="single" w:color="auto" w:sz="4" w:space="0"/>
              <w:bottom w:val="single" w:color="auto" w:sz="4" w:space="0"/>
              <w:right w:val="single" w:color="auto" w:sz="4" w:space="0"/>
            </w:tcBorders>
            <w:vAlign w:val="center"/>
          </w:tcPr>
          <w:p w14:paraId="5C257F4C">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59167A5">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641E108">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4,000.00</w:t>
            </w:r>
          </w:p>
        </w:tc>
        <w:tc>
          <w:tcPr>
            <w:tcW w:w="1276" w:type="dxa"/>
            <w:tcBorders>
              <w:top w:val="single" w:color="auto" w:sz="4" w:space="0"/>
              <w:left w:val="single" w:color="auto" w:sz="4" w:space="0"/>
              <w:bottom w:val="single" w:color="auto" w:sz="4" w:space="0"/>
              <w:right w:val="single" w:color="auto" w:sz="4" w:space="0"/>
            </w:tcBorders>
            <w:vAlign w:val="center"/>
          </w:tcPr>
          <w:p w14:paraId="3862E3A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4C5095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6031502">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F49CA7D">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CE9F24D">
            <w:pPr>
              <w:spacing w:line="240" w:lineRule="auto"/>
              <w:jc w:val="both"/>
              <w:rPr>
                <w:rFonts w:ascii="Times New Roman" w:hAnsi="Times New Roman" w:cs="Times New Roman"/>
                <w:sz w:val="20"/>
                <w:szCs w:val="20"/>
                <w:lang w:val="en-GB" w:eastAsia="en-GB"/>
              </w:rPr>
            </w:pPr>
          </w:p>
        </w:tc>
      </w:tr>
      <w:tr w14:paraId="4F82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FAAA15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FFC6277">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Educate communities on Child and Family Welfare issues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05A6397">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6AB9B6E">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51" w:type="dxa"/>
            <w:tcBorders>
              <w:top w:val="single" w:color="auto" w:sz="4" w:space="0"/>
              <w:left w:val="single" w:color="auto" w:sz="4" w:space="0"/>
              <w:bottom w:val="single" w:color="auto" w:sz="4" w:space="0"/>
              <w:right w:val="single" w:color="auto" w:sz="4" w:space="0"/>
            </w:tcBorders>
            <w:vAlign w:val="center"/>
          </w:tcPr>
          <w:p w14:paraId="1076A34E">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263A0BB">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31A0505">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83F578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010E81A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491D8AA">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A31AD2E">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ECD7E43">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C71A98B">
            <w:pPr>
              <w:spacing w:line="240" w:lineRule="auto"/>
              <w:jc w:val="both"/>
              <w:rPr>
                <w:rFonts w:ascii="Times New Roman" w:hAnsi="Times New Roman" w:cs="Times New Roman"/>
                <w:sz w:val="20"/>
                <w:szCs w:val="20"/>
                <w:lang w:val="en-GB" w:eastAsia="en-GB"/>
              </w:rPr>
            </w:pPr>
          </w:p>
        </w:tc>
      </w:tr>
      <w:tr w14:paraId="21C1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AB29CE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13AD4D0">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Celebrate World Day Against Child Labor</w:t>
            </w:r>
            <w:r>
              <w:rPr>
                <w:rFonts w:ascii="Times New Roman" w:hAnsi="Times New Roman" w:cs="Times New Roman"/>
                <w:bCs/>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0903098E">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49245D5">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6,000.00</w:t>
            </w:r>
          </w:p>
        </w:tc>
        <w:tc>
          <w:tcPr>
            <w:tcW w:w="1251" w:type="dxa"/>
            <w:tcBorders>
              <w:top w:val="single" w:color="auto" w:sz="4" w:space="0"/>
              <w:left w:val="single" w:color="auto" w:sz="4" w:space="0"/>
              <w:bottom w:val="single" w:color="auto" w:sz="4" w:space="0"/>
              <w:right w:val="single" w:color="auto" w:sz="4" w:space="0"/>
            </w:tcBorders>
            <w:vAlign w:val="center"/>
          </w:tcPr>
          <w:p w14:paraId="0A8DCD88">
            <w:pPr>
              <w:spacing w:line="240" w:lineRule="auto"/>
              <w:jc w:val="center"/>
              <w:rPr>
                <w:rFonts w:ascii="Times New Roman" w:hAnsi="Times New Roman" w:cs="Times New Roman"/>
                <w:sz w:val="20"/>
                <w:szCs w:val="20"/>
              </w:rPr>
            </w:pPr>
            <w:r>
              <w:rPr>
                <w:rFonts w:ascii="Times New Roman" w:hAnsi="Times New Roman" w:cs="Times New Roman"/>
                <w:sz w:val="20"/>
                <w:szCs w:val="20"/>
              </w:rPr>
              <w:t>GOG/IFG</w:t>
            </w:r>
          </w:p>
        </w:tc>
        <w:tc>
          <w:tcPr>
            <w:tcW w:w="992" w:type="dxa"/>
            <w:tcBorders>
              <w:top w:val="single" w:color="auto" w:sz="4" w:space="0"/>
              <w:left w:val="single" w:color="auto" w:sz="4" w:space="0"/>
              <w:bottom w:val="single" w:color="auto" w:sz="4" w:space="0"/>
              <w:right w:val="single" w:color="auto" w:sz="4" w:space="0"/>
            </w:tcBorders>
            <w:vAlign w:val="center"/>
          </w:tcPr>
          <w:p w14:paraId="7D128304">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A391B8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BE1D340">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7172037B">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DFC7F98">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AB7B214">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437642A">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C0A49E5">
            <w:pPr>
              <w:spacing w:line="240" w:lineRule="auto"/>
              <w:jc w:val="both"/>
              <w:rPr>
                <w:rFonts w:ascii="Times New Roman" w:hAnsi="Times New Roman" w:cs="Times New Roman"/>
                <w:sz w:val="20"/>
                <w:szCs w:val="20"/>
                <w:lang w:val="en-GB" w:eastAsia="en-GB"/>
              </w:rPr>
            </w:pPr>
          </w:p>
        </w:tc>
      </w:tr>
      <w:tr w14:paraId="6B89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AD37F6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ECAC159">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bCs/>
                <w:sz w:val="20"/>
                <w:szCs w:val="20"/>
              </w:rPr>
              <w:t>Intensify comprehensive education on HIV/AIDS and STIs, including reduction of stigmatization in schools and communities/Intensify efforts to eliminate mother to child transmission of HIV (MTCTHIV)</w:t>
            </w:r>
            <w:r>
              <w:rPr>
                <w:rFonts w:ascii="Times New Roman" w:hAnsi="Times New Roman" w:cs="Times New Roman"/>
                <w:sz w:val="20"/>
                <w:szCs w:val="20"/>
              </w:rPr>
              <w:t>/ Celebrate World AIDs Day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36838A5">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051C617">
            <w:pPr>
              <w:spacing w:line="240" w:lineRule="auto"/>
              <w:jc w:val="center"/>
              <w:rPr>
                <w:rFonts w:ascii="Times New Roman" w:hAnsi="Times New Roman" w:cs="Times New Roman"/>
                <w:sz w:val="20"/>
                <w:szCs w:val="20"/>
              </w:rPr>
            </w:pPr>
            <w:r>
              <w:rPr>
                <w:rFonts w:ascii="Times New Roman" w:hAnsi="Times New Roman" w:cs="Times New Roman"/>
                <w:sz w:val="20"/>
                <w:szCs w:val="20"/>
              </w:rPr>
              <w:t>112,236.94</w:t>
            </w:r>
          </w:p>
          <w:p w14:paraId="6C294A60">
            <w:pPr>
              <w:spacing w:before="100" w:beforeAutospacing="1" w:line="240" w:lineRule="auto"/>
              <w:jc w:val="center"/>
              <w:rPr>
                <w:rFonts w:ascii="Times New Roman" w:hAnsi="Times New Roman" w:eastAsia="Calibri" w:cs="Times New Roman"/>
                <w:sz w:val="20"/>
                <w:szCs w:val="20"/>
              </w:rPr>
            </w:pPr>
          </w:p>
        </w:tc>
        <w:tc>
          <w:tcPr>
            <w:tcW w:w="1251" w:type="dxa"/>
            <w:tcBorders>
              <w:top w:val="single" w:color="auto" w:sz="4" w:space="0"/>
              <w:left w:val="single" w:color="auto" w:sz="4" w:space="0"/>
              <w:bottom w:val="single" w:color="auto" w:sz="4" w:space="0"/>
              <w:right w:val="single" w:color="auto" w:sz="4" w:space="0"/>
            </w:tcBorders>
            <w:vAlign w:val="center"/>
          </w:tcPr>
          <w:p w14:paraId="071745E8">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22E180AB">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011DA1E">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7E97B02">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2320A17E">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5E0273B">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734DCEB5">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AFFF283">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8074FB4">
            <w:pPr>
              <w:spacing w:line="240" w:lineRule="auto"/>
              <w:jc w:val="both"/>
              <w:rPr>
                <w:rFonts w:ascii="Times New Roman" w:hAnsi="Times New Roman" w:cs="Times New Roman"/>
                <w:sz w:val="20"/>
                <w:szCs w:val="20"/>
                <w:lang w:val="en-GB" w:eastAsia="en-GB"/>
              </w:rPr>
            </w:pPr>
          </w:p>
        </w:tc>
      </w:tr>
      <w:tr w14:paraId="0B45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0D371F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AC74C06">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Celebrate international day for the Girl Child</w:t>
            </w:r>
            <w:r>
              <w:rPr>
                <w:rFonts w:ascii="Times New Roman" w:hAnsi="Times New Roman" w:cs="Times New Roman"/>
                <w:bCs/>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6ABC465D">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53E442D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4,000.00</w:t>
            </w:r>
          </w:p>
        </w:tc>
        <w:tc>
          <w:tcPr>
            <w:tcW w:w="1251" w:type="dxa"/>
            <w:tcBorders>
              <w:top w:val="single" w:color="auto" w:sz="4" w:space="0"/>
              <w:left w:val="single" w:color="auto" w:sz="4" w:space="0"/>
              <w:bottom w:val="single" w:color="auto" w:sz="4" w:space="0"/>
              <w:right w:val="single" w:color="auto" w:sz="4" w:space="0"/>
            </w:tcBorders>
            <w:vAlign w:val="center"/>
          </w:tcPr>
          <w:p w14:paraId="76E5F365">
            <w:pPr>
              <w:spacing w:line="240" w:lineRule="auto"/>
              <w:jc w:val="center"/>
              <w:rPr>
                <w:rFonts w:ascii="Times New Roman" w:hAnsi="Times New Roman" w:cs="Times New Roman"/>
                <w:sz w:val="20"/>
                <w:szCs w:val="20"/>
              </w:rPr>
            </w:pPr>
            <w:r>
              <w:rPr>
                <w:rFonts w:ascii="Times New Roman" w:hAnsi="Times New Roman" w:cs="Times New Roman"/>
                <w:sz w:val="20"/>
                <w:szCs w:val="20"/>
              </w:rPr>
              <w:t>GOG/IFG</w:t>
            </w:r>
          </w:p>
        </w:tc>
        <w:tc>
          <w:tcPr>
            <w:tcW w:w="992" w:type="dxa"/>
            <w:tcBorders>
              <w:top w:val="single" w:color="auto" w:sz="4" w:space="0"/>
              <w:left w:val="single" w:color="auto" w:sz="4" w:space="0"/>
              <w:bottom w:val="single" w:color="auto" w:sz="4" w:space="0"/>
              <w:right w:val="single" w:color="auto" w:sz="4" w:space="0"/>
            </w:tcBorders>
            <w:vAlign w:val="center"/>
          </w:tcPr>
          <w:p w14:paraId="6EB76519">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CAE503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648299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697171DB">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029C82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DEF9792">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B968001">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7B9502D">
            <w:pPr>
              <w:spacing w:line="240" w:lineRule="auto"/>
              <w:jc w:val="both"/>
              <w:rPr>
                <w:rFonts w:ascii="Times New Roman" w:hAnsi="Times New Roman" w:cs="Times New Roman"/>
                <w:sz w:val="20"/>
                <w:szCs w:val="20"/>
                <w:lang w:val="en-GB" w:eastAsia="en-GB"/>
              </w:rPr>
            </w:pPr>
          </w:p>
        </w:tc>
      </w:tr>
      <w:tr w14:paraId="006F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69D75C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1BC8AA4">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training on Women Empowerment and skill development</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91FA1A1">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6D884E1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8,222.00</w:t>
            </w:r>
          </w:p>
        </w:tc>
        <w:tc>
          <w:tcPr>
            <w:tcW w:w="1251" w:type="dxa"/>
            <w:tcBorders>
              <w:top w:val="single" w:color="auto" w:sz="4" w:space="0"/>
              <w:left w:val="single" w:color="auto" w:sz="4" w:space="0"/>
              <w:bottom w:val="single" w:color="auto" w:sz="4" w:space="0"/>
              <w:right w:val="single" w:color="auto" w:sz="4" w:space="0"/>
            </w:tcBorders>
            <w:vAlign w:val="center"/>
          </w:tcPr>
          <w:p w14:paraId="2129AA52">
            <w:pPr>
              <w:spacing w:line="240" w:lineRule="auto"/>
              <w:jc w:val="center"/>
              <w:rPr>
                <w:rFonts w:ascii="Times New Roman" w:hAnsi="Times New Roman" w:cs="Times New Roman"/>
                <w:sz w:val="20"/>
                <w:szCs w:val="20"/>
              </w:rPr>
            </w:pPr>
            <w:r>
              <w:rPr>
                <w:rFonts w:ascii="Times New Roman" w:hAnsi="Times New Roman" w:cs="Times New Roman"/>
                <w:sz w:val="20"/>
                <w:szCs w:val="20"/>
              </w:rPr>
              <w:t>GOG/IFG</w:t>
            </w:r>
          </w:p>
        </w:tc>
        <w:tc>
          <w:tcPr>
            <w:tcW w:w="992" w:type="dxa"/>
            <w:tcBorders>
              <w:top w:val="single" w:color="auto" w:sz="4" w:space="0"/>
              <w:left w:val="single" w:color="auto" w:sz="4" w:space="0"/>
              <w:bottom w:val="single" w:color="auto" w:sz="4" w:space="0"/>
              <w:right w:val="single" w:color="auto" w:sz="4" w:space="0"/>
            </w:tcBorders>
            <w:vAlign w:val="center"/>
          </w:tcPr>
          <w:p w14:paraId="5677C1F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B58E0B8">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BB1D154">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5FB85F3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F2A1A7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4D475F97">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62AFB72">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9FD2B36">
            <w:pPr>
              <w:spacing w:line="240" w:lineRule="auto"/>
              <w:jc w:val="both"/>
              <w:rPr>
                <w:rFonts w:ascii="Times New Roman" w:hAnsi="Times New Roman" w:cs="Times New Roman"/>
                <w:sz w:val="20"/>
                <w:szCs w:val="20"/>
                <w:lang w:val="en-GB" w:eastAsia="en-GB"/>
              </w:rPr>
            </w:pPr>
          </w:p>
        </w:tc>
      </w:tr>
      <w:tr w14:paraId="34CF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9FBDA1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DE9ADD2">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sensitization on Menstrual Hygiene in schools and celebrate Menstrual Hygiene Day</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8BE28F4">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3236066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3,000.00</w:t>
            </w:r>
          </w:p>
        </w:tc>
        <w:tc>
          <w:tcPr>
            <w:tcW w:w="1251" w:type="dxa"/>
            <w:tcBorders>
              <w:top w:val="single" w:color="auto" w:sz="4" w:space="0"/>
              <w:left w:val="single" w:color="auto" w:sz="4" w:space="0"/>
              <w:bottom w:val="single" w:color="auto" w:sz="4" w:space="0"/>
              <w:right w:val="single" w:color="auto" w:sz="4" w:space="0"/>
            </w:tcBorders>
            <w:vAlign w:val="center"/>
          </w:tcPr>
          <w:p w14:paraId="5DA0C807">
            <w:pPr>
              <w:spacing w:line="240" w:lineRule="auto"/>
              <w:jc w:val="center"/>
              <w:rPr>
                <w:rFonts w:ascii="Times New Roman" w:hAnsi="Times New Roman" w:cs="Times New Roman"/>
                <w:sz w:val="20"/>
                <w:szCs w:val="20"/>
              </w:rPr>
            </w:pPr>
            <w:r>
              <w:rPr>
                <w:rFonts w:ascii="Times New Roman" w:hAnsi="Times New Roman" w:cs="Times New Roman"/>
                <w:sz w:val="20"/>
                <w:szCs w:val="20"/>
              </w:rPr>
              <w:t>GOG/IFG</w:t>
            </w:r>
          </w:p>
        </w:tc>
        <w:tc>
          <w:tcPr>
            <w:tcW w:w="992" w:type="dxa"/>
            <w:tcBorders>
              <w:top w:val="single" w:color="auto" w:sz="4" w:space="0"/>
              <w:left w:val="single" w:color="auto" w:sz="4" w:space="0"/>
              <w:bottom w:val="single" w:color="auto" w:sz="4" w:space="0"/>
              <w:right w:val="single" w:color="auto" w:sz="4" w:space="0"/>
            </w:tcBorders>
            <w:vAlign w:val="center"/>
          </w:tcPr>
          <w:p w14:paraId="7C26A53B">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19DCFD4">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E3ADA8C">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42DF014E">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041DC04">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79A22E49">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DD6A67F">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0EBE47A8">
            <w:pPr>
              <w:spacing w:line="240" w:lineRule="auto"/>
              <w:jc w:val="both"/>
              <w:rPr>
                <w:rFonts w:ascii="Times New Roman" w:hAnsi="Times New Roman" w:cs="Times New Roman"/>
                <w:sz w:val="20"/>
                <w:szCs w:val="20"/>
                <w:lang w:val="en-GB" w:eastAsia="en-GB"/>
              </w:rPr>
            </w:pPr>
          </w:p>
        </w:tc>
      </w:tr>
      <w:tr w14:paraId="224E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F047F9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AA07B90">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sensitization on gender-based violence in schools and communities</w:t>
            </w:r>
            <w:r>
              <w:rPr>
                <w:rFonts w:ascii="Times New Roman" w:hAnsi="Times New Roman" w:cs="Times New Roman"/>
                <w:bCs/>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49B0E867">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22D08DE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35E00878">
            <w:pPr>
              <w:spacing w:line="240" w:lineRule="auto"/>
              <w:jc w:val="center"/>
              <w:rPr>
                <w:rFonts w:ascii="Times New Roman" w:hAnsi="Times New Roman" w:cs="Times New Roman"/>
                <w:sz w:val="20"/>
                <w:szCs w:val="20"/>
              </w:rPr>
            </w:pPr>
            <w:r>
              <w:rPr>
                <w:rFonts w:ascii="Times New Roman" w:hAnsi="Times New Roman" w:cs="Times New Roman"/>
                <w:sz w:val="20"/>
                <w:szCs w:val="20"/>
              </w:rPr>
              <w:t>GOG/IFG</w:t>
            </w:r>
          </w:p>
        </w:tc>
        <w:tc>
          <w:tcPr>
            <w:tcW w:w="992" w:type="dxa"/>
            <w:tcBorders>
              <w:top w:val="single" w:color="auto" w:sz="4" w:space="0"/>
              <w:left w:val="single" w:color="auto" w:sz="4" w:space="0"/>
              <w:bottom w:val="single" w:color="auto" w:sz="4" w:space="0"/>
              <w:right w:val="single" w:color="auto" w:sz="4" w:space="0"/>
            </w:tcBorders>
            <w:vAlign w:val="center"/>
          </w:tcPr>
          <w:p w14:paraId="6EB1B69D">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2B788C4">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606980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w:t>
            </w:r>
          </w:p>
        </w:tc>
        <w:tc>
          <w:tcPr>
            <w:tcW w:w="1276" w:type="dxa"/>
            <w:tcBorders>
              <w:top w:val="single" w:color="auto" w:sz="4" w:space="0"/>
              <w:left w:val="single" w:color="auto" w:sz="4" w:space="0"/>
              <w:bottom w:val="single" w:color="auto" w:sz="4" w:space="0"/>
              <w:right w:val="single" w:color="auto" w:sz="4" w:space="0"/>
            </w:tcBorders>
            <w:vAlign w:val="center"/>
          </w:tcPr>
          <w:p w14:paraId="0604043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3217AA1">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66A607C">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A04416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04DC36A">
            <w:pPr>
              <w:spacing w:line="240" w:lineRule="auto"/>
              <w:jc w:val="both"/>
              <w:rPr>
                <w:rFonts w:ascii="Times New Roman" w:hAnsi="Times New Roman" w:cs="Times New Roman"/>
                <w:sz w:val="20"/>
                <w:szCs w:val="20"/>
                <w:lang w:val="en-GB" w:eastAsia="en-GB"/>
              </w:rPr>
            </w:pPr>
          </w:p>
        </w:tc>
      </w:tr>
      <w:tr w14:paraId="765E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3D54B989">
            <w:pPr>
              <w:spacing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BIRTH &amp; DEATH REGISTRY</w:t>
            </w:r>
          </w:p>
        </w:tc>
      </w:tr>
      <w:tr w14:paraId="5BEC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6AAA600">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BAF10C2">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Organize Public education and sensitization on importance of Births and Deaths Registration</w:t>
            </w:r>
            <w:r>
              <w:rPr>
                <w:rFonts w:ascii="Times New Roman" w:hAnsi="Times New Roman" w:cs="Times New Roman"/>
                <w:bCs/>
                <w:sz w:val="20"/>
                <w:szCs w:val="20"/>
              </w:rPr>
              <w:t xml:space="preserve"> by the end of Dec. 2026</w:t>
            </w:r>
            <w:r>
              <w:rPr>
                <w:rFonts w:ascii="Times New Roman" w:hAnsi="Times New Roman" w:eastAsia="Calibri" w:cs="Times New Roman"/>
                <w:sz w:val="20"/>
                <w:szCs w:val="20"/>
              </w:rPr>
              <w:t>.</w:t>
            </w:r>
          </w:p>
        </w:tc>
        <w:tc>
          <w:tcPr>
            <w:tcW w:w="1420" w:type="dxa"/>
            <w:tcBorders>
              <w:top w:val="single" w:color="auto" w:sz="4" w:space="0"/>
              <w:left w:val="single" w:color="auto" w:sz="4" w:space="0"/>
              <w:bottom w:val="single" w:color="auto" w:sz="4" w:space="0"/>
              <w:right w:val="single" w:color="auto" w:sz="4" w:space="0"/>
            </w:tcBorders>
            <w:vAlign w:val="center"/>
          </w:tcPr>
          <w:p w14:paraId="0622DC9D">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0276298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3,000.00</w:t>
            </w:r>
          </w:p>
        </w:tc>
        <w:tc>
          <w:tcPr>
            <w:tcW w:w="1251" w:type="dxa"/>
            <w:tcBorders>
              <w:top w:val="single" w:color="auto" w:sz="4" w:space="0"/>
              <w:left w:val="single" w:color="auto" w:sz="4" w:space="0"/>
              <w:bottom w:val="single" w:color="auto" w:sz="4" w:space="0"/>
              <w:right w:val="single" w:color="auto" w:sz="4" w:space="0"/>
            </w:tcBorders>
            <w:vAlign w:val="center"/>
          </w:tcPr>
          <w:p w14:paraId="0A233C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4C50C5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677F34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2BC37B9">
            <w:pPr>
              <w:spacing w:after="0" w:line="240" w:lineRule="auto"/>
              <w:jc w:val="center"/>
              <w:rPr>
                <w:rFonts w:ascii="Times New Roman" w:hAnsi="Times New Roman" w:cs="Times New Roman"/>
                <w:b/>
                <w:bCs/>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59B273B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E0F41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1A4DC0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drawing>
                <wp:inline distT="0" distB="0" distL="0" distR="0">
                  <wp:extent cx="838200" cy="5600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876176" cy="585445"/>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3E56AAA">
            <w:pPr>
              <w:spacing w:line="240" w:lineRule="auto"/>
              <w:rPr>
                <w:rFonts w:ascii="Times New Roman" w:hAnsi="Times New Roman" w:cs="Times New Roman"/>
                <w:sz w:val="20"/>
                <w:szCs w:val="20"/>
              </w:rPr>
            </w:pPr>
            <w:r>
              <w:rPr>
                <w:rFonts w:ascii="Times New Roman" w:hAnsi="Times New Roman" w:cs="Times New Roman"/>
                <w:sz w:val="20"/>
                <w:szCs w:val="20"/>
              </w:rPr>
              <w:t xml:space="preserve">On-going </w:t>
            </w:r>
          </w:p>
        </w:tc>
        <w:tc>
          <w:tcPr>
            <w:tcW w:w="990" w:type="dxa"/>
            <w:tcBorders>
              <w:top w:val="single" w:color="auto" w:sz="4" w:space="0"/>
              <w:left w:val="single" w:color="auto" w:sz="4" w:space="0"/>
              <w:bottom w:val="single" w:color="auto" w:sz="4" w:space="0"/>
              <w:right w:val="single" w:color="auto" w:sz="4" w:space="0"/>
            </w:tcBorders>
            <w:vAlign w:val="center"/>
          </w:tcPr>
          <w:p w14:paraId="0339CFFB">
            <w:pPr>
              <w:spacing w:line="240" w:lineRule="auto"/>
              <w:jc w:val="both"/>
              <w:rPr>
                <w:rFonts w:ascii="Times New Roman" w:hAnsi="Times New Roman" w:cs="Times New Roman"/>
                <w:sz w:val="20"/>
                <w:szCs w:val="20"/>
                <w:lang w:val="en-GB" w:eastAsia="en-GB"/>
              </w:rPr>
            </w:pPr>
          </w:p>
        </w:tc>
      </w:tr>
      <w:tr w14:paraId="7443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C75313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6ED8762">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Organize outreach registration exercises (Mobile Registration)</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16F9F3A">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623C721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43F2170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96946B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6CBEED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897A08D">
            <w:pPr>
              <w:spacing w:after="0" w:line="240" w:lineRule="auto"/>
              <w:jc w:val="center"/>
              <w:rPr>
                <w:rFonts w:ascii="Times New Roman" w:hAnsi="Times New Roman" w:cs="Times New Roman"/>
                <w:b/>
                <w:bCs/>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5BF71C42">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20404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5F2A3A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drawing>
                <wp:inline distT="0" distB="0" distL="0" distR="0">
                  <wp:extent cx="889000" cy="607695"/>
                  <wp:effectExtent l="0" t="0" r="635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916999" cy="627457"/>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21A4627">
            <w:pPr>
              <w:spacing w:line="240" w:lineRule="auto"/>
              <w:rPr>
                <w:rFonts w:ascii="Times New Roman" w:hAnsi="Times New Roman" w:cs="Times New Roman"/>
                <w:sz w:val="20"/>
                <w:szCs w:val="20"/>
              </w:rPr>
            </w:pPr>
            <w:r>
              <w:rPr>
                <w:rFonts w:ascii="Times New Roman" w:hAnsi="Times New Roman" w:cs="Times New Roman"/>
                <w:sz w:val="20"/>
                <w:szCs w:val="20"/>
              </w:rPr>
              <w:t xml:space="preserve">On-going </w:t>
            </w:r>
          </w:p>
        </w:tc>
        <w:tc>
          <w:tcPr>
            <w:tcW w:w="990" w:type="dxa"/>
            <w:tcBorders>
              <w:top w:val="single" w:color="auto" w:sz="4" w:space="0"/>
              <w:left w:val="single" w:color="auto" w:sz="4" w:space="0"/>
              <w:bottom w:val="single" w:color="auto" w:sz="4" w:space="0"/>
              <w:right w:val="single" w:color="auto" w:sz="4" w:space="0"/>
            </w:tcBorders>
            <w:vAlign w:val="center"/>
          </w:tcPr>
          <w:p w14:paraId="75024CA9">
            <w:pPr>
              <w:spacing w:line="240" w:lineRule="auto"/>
              <w:jc w:val="both"/>
              <w:rPr>
                <w:rFonts w:ascii="Times New Roman" w:hAnsi="Times New Roman" w:cs="Times New Roman"/>
                <w:sz w:val="20"/>
                <w:szCs w:val="20"/>
                <w:lang w:val="en-GB" w:eastAsia="en-GB"/>
              </w:rPr>
            </w:pPr>
          </w:p>
        </w:tc>
      </w:tr>
      <w:tr w14:paraId="657D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D908F3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DD36E53">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Organize 2 durbars during the Child Health Promotion and Birth registration week respectively</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33C404B">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097B446E">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3,000.00</w:t>
            </w:r>
          </w:p>
        </w:tc>
        <w:tc>
          <w:tcPr>
            <w:tcW w:w="1251" w:type="dxa"/>
            <w:tcBorders>
              <w:top w:val="single" w:color="auto" w:sz="4" w:space="0"/>
              <w:left w:val="single" w:color="auto" w:sz="4" w:space="0"/>
              <w:bottom w:val="single" w:color="auto" w:sz="4" w:space="0"/>
              <w:right w:val="single" w:color="auto" w:sz="4" w:space="0"/>
            </w:tcBorders>
            <w:vAlign w:val="center"/>
          </w:tcPr>
          <w:p w14:paraId="58FCF8D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BE42C5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B871C8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95EC6D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13FF889E">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D28CCB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141A474">
            <w:pPr>
              <w:spacing w:line="240" w:lineRule="auto"/>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3E4EBD2C">
            <w:pPr>
              <w:spacing w:line="240" w:lineRule="auto"/>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DBC2250">
            <w:pPr>
              <w:spacing w:line="240" w:lineRule="auto"/>
              <w:jc w:val="both"/>
              <w:rPr>
                <w:rFonts w:ascii="Times New Roman" w:hAnsi="Times New Roman" w:cs="Times New Roman"/>
                <w:sz w:val="20"/>
                <w:szCs w:val="20"/>
                <w:lang w:val="en-GB" w:eastAsia="en-GB"/>
              </w:rPr>
            </w:pPr>
          </w:p>
        </w:tc>
      </w:tr>
      <w:tr w14:paraId="0533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441C0C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98CADBD">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Establish 5No.  Registration Centers for Birth and Death Registry</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4F20EA3">
            <w:pPr>
              <w:spacing w:line="240" w:lineRule="auto"/>
              <w:rPr>
                <w:rFonts w:ascii="Times New Roman" w:hAnsi="Times New Roman" w:cs="Times New Roman"/>
                <w:sz w:val="20"/>
                <w:szCs w:val="20"/>
              </w:rPr>
            </w:pPr>
            <w:r>
              <w:rPr>
                <w:rFonts w:ascii="Times New Roman" w:hAnsi="Times New Roman" w:cs="Times New Roman"/>
                <w:sz w:val="20"/>
                <w:szCs w:val="20"/>
              </w:rPr>
              <w:t xml:space="preserve">Social Development </w:t>
            </w:r>
          </w:p>
        </w:tc>
        <w:tc>
          <w:tcPr>
            <w:tcW w:w="1157" w:type="dxa"/>
            <w:tcBorders>
              <w:top w:val="single" w:color="auto" w:sz="4" w:space="0"/>
              <w:left w:val="single" w:color="auto" w:sz="4" w:space="0"/>
              <w:bottom w:val="single" w:color="auto" w:sz="4" w:space="0"/>
              <w:right w:val="single" w:color="auto" w:sz="4" w:space="0"/>
            </w:tcBorders>
            <w:vAlign w:val="center"/>
          </w:tcPr>
          <w:p w14:paraId="35288165">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6DF8D50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E118FD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2C7EF5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B36AEE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0BE0D83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BD4AAD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8AA347F">
            <w:pPr>
              <w:spacing w:line="240" w:lineRule="auto"/>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4ACCFCA">
            <w:pPr>
              <w:spacing w:line="240" w:lineRule="auto"/>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4AC688D">
            <w:pPr>
              <w:spacing w:line="240" w:lineRule="auto"/>
              <w:jc w:val="both"/>
              <w:rPr>
                <w:rFonts w:ascii="Times New Roman" w:hAnsi="Times New Roman" w:cs="Times New Roman"/>
                <w:sz w:val="20"/>
                <w:szCs w:val="20"/>
                <w:lang w:val="en-GB" w:eastAsia="en-GB"/>
              </w:rPr>
            </w:pPr>
          </w:p>
        </w:tc>
      </w:tr>
      <w:tr w14:paraId="63DE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2D5653EB">
            <w:pPr>
              <w:spacing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PHYSICAL PLANNING</w:t>
            </w:r>
          </w:p>
        </w:tc>
      </w:tr>
      <w:tr w14:paraId="6463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C3F626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6AEA944">
            <w:pPr>
              <w:spacing w:line="240" w:lineRule="auto"/>
              <w:jc w:val="both"/>
              <w:rPr>
                <w:rFonts w:ascii="Times New Roman" w:hAnsi="Times New Roman" w:eastAsia="Calibri" w:cs="Times New Roman"/>
                <w:sz w:val="20"/>
                <w:szCs w:val="20"/>
              </w:rPr>
            </w:pPr>
            <w:r>
              <w:rPr>
                <w:rFonts w:ascii="Times New Roman" w:hAnsi="Times New Roman" w:cs="Times New Roman"/>
                <w:sz w:val="20"/>
                <w:szCs w:val="20"/>
              </w:rPr>
              <w:t>Support Street Naming and Property Address system</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5A050BE">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22468E53">
            <w:pPr>
              <w:spacing w:before="100" w:beforeAutospacing="1" w:line="240" w:lineRule="auto"/>
              <w:jc w:val="center"/>
              <w:rPr>
                <w:rFonts w:ascii="Times New Roman" w:hAnsi="Times New Roman" w:eastAsia="Calibri" w:cs="Times New Roman"/>
                <w:sz w:val="20"/>
                <w:szCs w:val="20"/>
              </w:rPr>
            </w:pPr>
            <w:r>
              <w:rPr>
                <w:rFonts w:ascii="Times New Roman" w:hAnsi="Times New Roman" w:cs="Times New Roman"/>
                <w:sz w:val="20"/>
                <w:szCs w:val="20"/>
              </w:rPr>
              <w:t>150,000.00</w:t>
            </w:r>
          </w:p>
        </w:tc>
        <w:tc>
          <w:tcPr>
            <w:tcW w:w="1251" w:type="dxa"/>
            <w:tcBorders>
              <w:top w:val="single" w:color="auto" w:sz="4" w:space="0"/>
              <w:left w:val="single" w:color="auto" w:sz="4" w:space="0"/>
              <w:bottom w:val="single" w:color="auto" w:sz="4" w:space="0"/>
              <w:right w:val="single" w:color="auto" w:sz="4" w:space="0"/>
            </w:tcBorders>
            <w:vAlign w:val="center"/>
          </w:tcPr>
          <w:p w14:paraId="07CEBF07">
            <w:pPr>
              <w:spacing w:line="240" w:lineRule="auto"/>
              <w:jc w:val="center"/>
              <w:rPr>
                <w:rFonts w:ascii="Times New Roman" w:hAnsi="Times New Roman" w:cs="Times New Roman"/>
                <w:sz w:val="20"/>
                <w:szCs w:val="20"/>
              </w:rPr>
            </w:pPr>
            <w:r>
              <w:rPr>
                <w:rFonts w:ascii="Times New Roman" w:hAnsi="Times New Roman" w:cs="Times New Roman"/>
                <w:sz w:val="20"/>
                <w:szCs w:val="20"/>
              </w:rPr>
              <w:t>DACF/ZA</w:t>
            </w:r>
          </w:p>
        </w:tc>
        <w:tc>
          <w:tcPr>
            <w:tcW w:w="992" w:type="dxa"/>
            <w:tcBorders>
              <w:top w:val="single" w:color="auto" w:sz="4" w:space="0"/>
              <w:left w:val="single" w:color="auto" w:sz="4" w:space="0"/>
              <w:bottom w:val="single" w:color="auto" w:sz="4" w:space="0"/>
              <w:right w:val="single" w:color="auto" w:sz="4" w:space="0"/>
            </w:tcBorders>
            <w:vAlign w:val="center"/>
          </w:tcPr>
          <w:p w14:paraId="21831DD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E1CF16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7663257">
            <w:pPr>
              <w:spacing w:line="240" w:lineRule="auto"/>
              <w:jc w:val="center"/>
              <w:rPr>
                <w:rFonts w:ascii="Times New Roman" w:hAnsi="Times New Roman" w:cs="Times New Roman"/>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26A634B5">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140DC65">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12" w:type="dxa"/>
            <w:tcBorders>
              <w:top w:val="single" w:color="auto" w:sz="4" w:space="0"/>
              <w:left w:val="single" w:color="auto" w:sz="4" w:space="0"/>
              <w:bottom w:val="single" w:color="auto" w:sz="4" w:space="0"/>
              <w:right w:val="single" w:color="auto" w:sz="4" w:space="0"/>
            </w:tcBorders>
            <w:vAlign w:val="center"/>
          </w:tcPr>
          <w:p w14:paraId="4053E3F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6D5D22F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9134C54">
            <w:pPr>
              <w:spacing w:line="240" w:lineRule="auto"/>
              <w:jc w:val="both"/>
              <w:rPr>
                <w:rFonts w:ascii="Times New Roman" w:hAnsi="Times New Roman" w:cs="Times New Roman"/>
                <w:sz w:val="20"/>
                <w:szCs w:val="20"/>
                <w:lang w:val="en-GB" w:eastAsia="en-GB"/>
              </w:rPr>
            </w:pPr>
          </w:p>
        </w:tc>
      </w:tr>
      <w:tr w14:paraId="2662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8108C3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DE0299E">
            <w:pPr>
              <w:spacing w:line="240" w:lineRule="auto"/>
              <w:rPr>
                <w:rFonts w:ascii="Times New Roman" w:hAnsi="Times New Roman" w:cs="Times New Roman"/>
                <w:sz w:val="20"/>
                <w:szCs w:val="20"/>
              </w:rPr>
            </w:pPr>
            <w:r>
              <w:rPr>
                <w:rFonts w:ascii="Times New Roman" w:hAnsi="Times New Roman" w:cs="Times New Roman"/>
                <w:sz w:val="20"/>
                <w:szCs w:val="20"/>
              </w:rPr>
              <w:t>Prepare base maps and local Plans for 2 communities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BA9741A">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2ED8044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15,000.00</w:t>
            </w:r>
          </w:p>
        </w:tc>
        <w:tc>
          <w:tcPr>
            <w:tcW w:w="1251" w:type="dxa"/>
            <w:tcBorders>
              <w:top w:val="single" w:color="auto" w:sz="4" w:space="0"/>
              <w:left w:val="single" w:color="auto" w:sz="4" w:space="0"/>
              <w:bottom w:val="single" w:color="auto" w:sz="4" w:space="0"/>
              <w:right w:val="single" w:color="auto" w:sz="4" w:space="0"/>
            </w:tcBorders>
            <w:vAlign w:val="center"/>
          </w:tcPr>
          <w:p w14:paraId="3028005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9A2C5F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490F72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865B6DC">
            <w:pPr>
              <w:spacing w:after="0" w:line="240" w:lineRule="auto"/>
              <w:jc w:val="center"/>
              <w:rPr>
                <w:rFonts w:ascii="Times New Roman" w:hAnsi="Times New Roman" w:cs="Times New Roman"/>
                <w:b/>
                <w:bCs/>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4124D1CA">
            <w:pPr>
              <w:spacing w:after="0" w:line="240" w:lineRule="auto"/>
              <w:jc w:val="center"/>
              <w:rPr>
                <w:rFonts w:ascii="Times New Roman" w:hAnsi="Times New Roman" w:cs="Times New Roman"/>
                <w:sz w:val="20"/>
                <w:szCs w:val="20"/>
              </w:rPr>
            </w:pPr>
          </w:p>
        </w:tc>
        <w:tc>
          <w:tcPr>
            <w:tcW w:w="757" w:type="dxa"/>
            <w:tcBorders>
              <w:top w:val="single" w:color="auto" w:sz="4" w:space="0"/>
              <w:left w:val="single" w:color="auto" w:sz="4" w:space="0"/>
              <w:bottom w:val="single" w:color="auto" w:sz="4" w:space="0"/>
              <w:right w:val="single" w:color="auto" w:sz="4" w:space="0"/>
            </w:tcBorders>
            <w:vAlign w:val="center"/>
          </w:tcPr>
          <w:p w14:paraId="3C9111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244F4FB7">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11B1F14E">
            <w:pPr>
              <w:spacing w:after="0" w:line="240" w:lineRule="auto"/>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282FE4C">
            <w:pPr>
              <w:spacing w:line="240" w:lineRule="auto"/>
              <w:jc w:val="both"/>
              <w:rPr>
                <w:rFonts w:ascii="Times New Roman" w:hAnsi="Times New Roman" w:cs="Times New Roman"/>
                <w:sz w:val="20"/>
                <w:szCs w:val="20"/>
                <w:lang w:val="en-GB" w:eastAsia="en-GB"/>
              </w:rPr>
            </w:pPr>
          </w:p>
        </w:tc>
      </w:tr>
      <w:tr w14:paraId="18CA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F1FA4A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BFC93E6">
            <w:pPr>
              <w:spacing w:line="240" w:lineRule="auto"/>
              <w:rPr>
                <w:rFonts w:ascii="Times New Roman" w:hAnsi="Times New Roman" w:cs="Times New Roman"/>
                <w:sz w:val="20"/>
                <w:szCs w:val="20"/>
              </w:rPr>
            </w:pPr>
            <w:r>
              <w:rPr>
                <w:rFonts w:ascii="Times New Roman" w:hAnsi="Times New Roman" w:cs="Times New Roman"/>
                <w:sz w:val="20"/>
                <w:szCs w:val="20"/>
              </w:rPr>
              <w:t>Prepare District Spatial Development</w:t>
            </w:r>
          </w:p>
          <w:p w14:paraId="53C2DAB6">
            <w:pPr>
              <w:spacing w:line="240" w:lineRule="auto"/>
              <w:rPr>
                <w:rFonts w:ascii="Times New Roman" w:hAnsi="Times New Roman" w:cs="Times New Roman"/>
                <w:sz w:val="20"/>
                <w:szCs w:val="20"/>
              </w:rPr>
            </w:pPr>
            <w:r>
              <w:rPr>
                <w:rFonts w:ascii="Times New Roman" w:hAnsi="Times New Roman" w:cs="Times New Roman"/>
                <w:sz w:val="20"/>
                <w:szCs w:val="20"/>
              </w:rPr>
              <w:t>Framework</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54D5134">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323136F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98,760.98</w:t>
            </w:r>
          </w:p>
        </w:tc>
        <w:tc>
          <w:tcPr>
            <w:tcW w:w="1251" w:type="dxa"/>
            <w:tcBorders>
              <w:top w:val="single" w:color="auto" w:sz="4" w:space="0"/>
              <w:left w:val="single" w:color="auto" w:sz="4" w:space="0"/>
              <w:bottom w:val="single" w:color="auto" w:sz="4" w:space="0"/>
              <w:right w:val="single" w:color="auto" w:sz="4" w:space="0"/>
            </w:tcBorders>
            <w:vAlign w:val="center"/>
          </w:tcPr>
          <w:p w14:paraId="2516A455">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70AB1B5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F45610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3A823D5">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74737792">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CBF0A0A">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7F0C7A0">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B26FC20">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1A31789">
            <w:pPr>
              <w:spacing w:line="240" w:lineRule="auto"/>
              <w:jc w:val="both"/>
              <w:rPr>
                <w:rFonts w:ascii="Times New Roman" w:hAnsi="Times New Roman" w:cs="Times New Roman"/>
                <w:sz w:val="20"/>
                <w:szCs w:val="20"/>
                <w:lang w:val="en-GB" w:eastAsia="en-GB"/>
              </w:rPr>
            </w:pPr>
          </w:p>
        </w:tc>
      </w:tr>
      <w:tr w14:paraId="681E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A19202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0F2C4C4">
            <w:pPr>
              <w:spacing w:line="240" w:lineRule="auto"/>
              <w:rPr>
                <w:rFonts w:ascii="Times New Roman" w:hAnsi="Times New Roman" w:cs="Times New Roman"/>
                <w:sz w:val="20"/>
                <w:szCs w:val="20"/>
              </w:rPr>
            </w:pPr>
            <w:r>
              <w:rPr>
                <w:rFonts w:ascii="Times New Roman" w:hAnsi="Times New Roman" w:cs="Times New Roman"/>
                <w:sz w:val="20"/>
                <w:szCs w:val="20"/>
              </w:rPr>
              <w:t>Organize monthly technical &amp; spatial planning committee meeting</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C737C2E">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656FB69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09BDB74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E2DA7A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886026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8179EA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76" w:type="dxa"/>
            <w:tcBorders>
              <w:top w:val="single" w:color="auto" w:sz="4" w:space="0"/>
              <w:left w:val="single" w:color="auto" w:sz="4" w:space="0"/>
              <w:bottom w:val="single" w:color="auto" w:sz="4" w:space="0"/>
              <w:right w:val="single" w:color="auto" w:sz="4" w:space="0"/>
            </w:tcBorders>
            <w:vAlign w:val="center"/>
          </w:tcPr>
          <w:p w14:paraId="1D2E806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eastAsia="en-GB"/>
              </w:rPr>
              <w:t>0.00on</w:t>
            </w:r>
          </w:p>
        </w:tc>
        <w:tc>
          <w:tcPr>
            <w:tcW w:w="757" w:type="dxa"/>
            <w:tcBorders>
              <w:top w:val="single" w:color="auto" w:sz="4" w:space="0"/>
              <w:left w:val="single" w:color="auto" w:sz="4" w:space="0"/>
              <w:bottom w:val="single" w:color="auto" w:sz="4" w:space="0"/>
              <w:right w:val="single" w:color="auto" w:sz="4" w:space="0"/>
            </w:tcBorders>
            <w:vAlign w:val="center"/>
          </w:tcPr>
          <w:p w14:paraId="1C01B6E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08D3A06E">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9BE58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6647D10">
            <w:pPr>
              <w:spacing w:line="240" w:lineRule="auto"/>
              <w:jc w:val="both"/>
              <w:rPr>
                <w:rFonts w:ascii="Times New Roman" w:hAnsi="Times New Roman" w:cs="Times New Roman"/>
                <w:sz w:val="20"/>
                <w:szCs w:val="20"/>
                <w:lang w:val="en-GB" w:eastAsia="en-GB"/>
              </w:rPr>
            </w:pPr>
          </w:p>
        </w:tc>
      </w:tr>
      <w:tr w14:paraId="597B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DD3C25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FD339A1">
            <w:pPr>
              <w:spacing w:line="240" w:lineRule="auto"/>
              <w:rPr>
                <w:rFonts w:ascii="Times New Roman" w:hAnsi="Times New Roman" w:cs="Times New Roman"/>
                <w:sz w:val="20"/>
                <w:szCs w:val="20"/>
              </w:rPr>
            </w:pPr>
            <w:r>
              <w:rPr>
                <w:rFonts w:ascii="Times New Roman" w:hAnsi="Times New Roman" w:cs="Times New Roman"/>
                <w:sz w:val="20"/>
                <w:szCs w:val="20"/>
              </w:rPr>
              <w:t>Revise  2 sector plans for communities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556ADFB">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095D3D85">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20,200.00</w:t>
            </w:r>
          </w:p>
        </w:tc>
        <w:tc>
          <w:tcPr>
            <w:tcW w:w="1251" w:type="dxa"/>
            <w:tcBorders>
              <w:top w:val="single" w:color="auto" w:sz="4" w:space="0"/>
              <w:left w:val="single" w:color="auto" w:sz="4" w:space="0"/>
              <w:bottom w:val="single" w:color="auto" w:sz="4" w:space="0"/>
              <w:right w:val="single" w:color="auto" w:sz="4" w:space="0"/>
            </w:tcBorders>
            <w:vAlign w:val="center"/>
          </w:tcPr>
          <w:p w14:paraId="590DC7CB">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0B6A49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9D519A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F454174">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20,200.00</w:t>
            </w:r>
          </w:p>
        </w:tc>
        <w:tc>
          <w:tcPr>
            <w:tcW w:w="1276" w:type="dxa"/>
            <w:tcBorders>
              <w:top w:val="single" w:color="auto" w:sz="4" w:space="0"/>
              <w:left w:val="single" w:color="auto" w:sz="4" w:space="0"/>
              <w:bottom w:val="single" w:color="auto" w:sz="4" w:space="0"/>
              <w:right w:val="single" w:color="auto" w:sz="4" w:space="0"/>
            </w:tcBorders>
            <w:vAlign w:val="center"/>
          </w:tcPr>
          <w:p w14:paraId="1EECF03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0.00On</w:t>
            </w:r>
          </w:p>
        </w:tc>
        <w:tc>
          <w:tcPr>
            <w:tcW w:w="757" w:type="dxa"/>
            <w:tcBorders>
              <w:top w:val="single" w:color="auto" w:sz="4" w:space="0"/>
              <w:left w:val="single" w:color="auto" w:sz="4" w:space="0"/>
              <w:bottom w:val="single" w:color="auto" w:sz="4" w:space="0"/>
              <w:right w:val="single" w:color="auto" w:sz="4" w:space="0"/>
            </w:tcBorders>
            <w:vAlign w:val="center"/>
          </w:tcPr>
          <w:p w14:paraId="02C7FE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4D8852EC">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1E2194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9EFA435">
            <w:pPr>
              <w:spacing w:line="240" w:lineRule="auto"/>
              <w:jc w:val="both"/>
              <w:rPr>
                <w:rFonts w:ascii="Times New Roman" w:hAnsi="Times New Roman" w:cs="Times New Roman"/>
                <w:sz w:val="20"/>
                <w:szCs w:val="20"/>
                <w:lang w:val="en-GB" w:eastAsia="en-GB"/>
              </w:rPr>
            </w:pPr>
          </w:p>
        </w:tc>
      </w:tr>
      <w:tr w14:paraId="4863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19F2EF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2DA3BDD">
            <w:pPr>
              <w:spacing w:line="240" w:lineRule="auto"/>
              <w:rPr>
                <w:rFonts w:ascii="Times New Roman" w:hAnsi="Times New Roman" w:cs="Times New Roman"/>
                <w:sz w:val="20"/>
                <w:szCs w:val="20"/>
              </w:rPr>
            </w:pPr>
            <w:r>
              <w:rPr>
                <w:rFonts w:ascii="Times New Roman" w:hAnsi="Times New Roman" w:cs="Times New Roman"/>
                <w:sz w:val="20"/>
                <w:szCs w:val="20"/>
              </w:rPr>
              <w:t>Facilitate the documentation of assembly’s lands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9373753">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26521AD0">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36DB55C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7757A2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0DD2D8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02930D9">
            <w:pPr>
              <w:spacing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76" w:type="dxa"/>
            <w:tcBorders>
              <w:top w:val="single" w:color="auto" w:sz="4" w:space="0"/>
              <w:left w:val="single" w:color="auto" w:sz="4" w:space="0"/>
              <w:bottom w:val="single" w:color="auto" w:sz="4" w:space="0"/>
              <w:right w:val="single" w:color="auto" w:sz="4" w:space="0"/>
            </w:tcBorders>
            <w:vAlign w:val="center"/>
          </w:tcPr>
          <w:p w14:paraId="1743B845">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C00F4D4">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BBD209C">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198F855">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47BB1DD">
            <w:pPr>
              <w:spacing w:line="240" w:lineRule="auto"/>
              <w:jc w:val="both"/>
              <w:rPr>
                <w:rFonts w:ascii="Times New Roman" w:hAnsi="Times New Roman" w:cs="Times New Roman"/>
                <w:sz w:val="20"/>
                <w:szCs w:val="20"/>
                <w:lang w:val="en-GB" w:eastAsia="en-GB"/>
              </w:rPr>
            </w:pPr>
          </w:p>
        </w:tc>
      </w:tr>
      <w:tr w14:paraId="72D2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5C3F2C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9448DB5">
            <w:pPr>
              <w:spacing w:line="240" w:lineRule="auto"/>
              <w:rPr>
                <w:rFonts w:ascii="Times New Roman" w:hAnsi="Times New Roman" w:cs="Times New Roman"/>
                <w:sz w:val="20"/>
                <w:szCs w:val="20"/>
              </w:rPr>
            </w:pPr>
            <w:r>
              <w:rPr>
                <w:rFonts w:ascii="Times New Roman" w:hAnsi="Times New Roman" w:cs="Times New Roman"/>
                <w:sz w:val="20"/>
                <w:szCs w:val="20"/>
              </w:rPr>
              <w:t>Conduct monthly site inspection for the processing of development application for permitting</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5FD506B">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6202CF6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20DC1EB4">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792A94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07499A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437707C">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3DE33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0B113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12" w:type="dxa"/>
            <w:tcBorders>
              <w:top w:val="single" w:color="auto" w:sz="4" w:space="0"/>
              <w:left w:val="single" w:color="auto" w:sz="4" w:space="0"/>
              <w:bottom w:val="single" w:color="auto" w:sz="4" w:space="0"/>
              <w:right w:val="single" w:color="auto" w:sz="4" w:space="0"/>
            </w:tcBorders>
            <w:vAlign w:val="center"/>
          </w:tcPr>
          <w:p w14:paraId="343D198E">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270A2E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C97B3A0">
            <w:pPr>
              <w:spacing w:line="240" w:lineRule="auto"/>
              <w:jc w:val="both"/>
              <w:rPr>
                <w:rFonts w:ascii="Times New Roman" w:hAnsi="Times New Roman" w:cs="Times New Roman"/>
                <w:sz w:val="20"/>
                <w:szCs w:val="20"/>
                <w:lang w:val="en-GB" w:eastAsia="en-GB"/>
              </w:rPr>
            </w:pPr>
          </w:p>
        </w:tc>
      </w:tr>
      <w:tr w14:paraId="17C7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DA5AD3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7F336CD">
            <w:pPr>
              <w:spacing w:line="240" w:lineRule="auto"/>
              <w:rPr>
                <w:rFonts w:ascii="Times New Roman" w:hAnsi="Times New Roman" w:cs="Times New Roman"/>
                <w:sz w:val="20"/>
                <w:szCs w:val="20"/>
              </w:rPr>
            </w:pPr>
            <w:r>
              <w:rPr>
                <w:rFonts w:ascii="Times New Roman" w:hAnsi="Times New Roman" w:cs="Times New Roman"/>
                <w:sz w:val="20"/>
                <w:szCs w:val="20"/>
              </w:rPr>
              <w:t>Landscaping and planting of ornamental plants to beautify the environment</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88A412C">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7AF301A2">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57929D16">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2EA12AF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7F8F9C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59310CD">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15F8434B">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03A5E4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A3F8EF5">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35BF34B">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991571E">
            <w:pPr>
              <w:spacing w:line="240" w:lineRule="auto"/>
              <w:jc w:val="both"/>
              <w:rPr>
                <w:rFonts w:ascii="Times New Roman" w:hAnsi="Times New Roman" w:cs="Times New Roman"/>
                <w:sz w:val="20"/>
                <w:szCs w:val="20"/>
                <w:lang w:val="en-GB" w:eastAsia="en-GB"/>
              </w:rPr>
            </w:pPr>
          </w:p>
        </w:tc>
      </w:tr>
      <w:tr w14:paraId="6539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C433250">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8EE1F2C">
            <w:pPr>
              <w:spacing w:line="240" w:lineRule="auto"/>
              <w:rPr>
                <w:rFonts w:ascii="Times New Roman" w:hAnsi="Times New Roman" w:cs="Times New Roman"/>
                <w:sz w:val="20"/>
                <w:szCs w:val="20"/>
              </w:rPr>
            </w:pPr>
            <w:r>
              <w:rPr>
                <w:rFonts w:ascii="Times New Roman" w:hAnsi="Times New Roman" w:cs="Times New Roman"/>
                <w:sz w:val="20"/>
                <w:szCs w:val="20"/>
              </w:rPr>
              <w:t>Develop Parks and garden</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22EBB6C">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25D8C8F2">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08A1B3E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E802D9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660DC6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CF5501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4A0F2E7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37590F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046835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C293189">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35E56EB">
            <w:pPr>
              <w:spacing w:line="240" w:lineRule="auto"/>
              <w:jc w:val="both"/>
              <w:rPr>
                <w:rFonts w:ascii="Times New Roman" w:hAnsi="Times New Roman" w:cs="Times New Roman"/>
                <w:sz w:val="20"/>
                <w:szCs w:val="20"/>
                <w:lang w:val="en-GB" w:eastAsia="en-GB"/>
              </w:rPr>
            </w:pPr>
          </w:p>
        </w:tc>
      </w:tr>
      <w:tr w14:paraId="3CD8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591BA6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2A8FBA1">
            <w:pPr>
              <w:spacing w:line="240" w:lineRule="auto"/>
              <w:rPr>
                <w:rFonts w:ascii="Times New Roman" w:hAnsi="Times New Roman" w:cs="Times New Roman"/>
                <w:sz w:val="20"/>
                <w:szCs w:val="20"/>
              </w:rPr>
            </w:pPr>
            <w:r>
              <w:rPr>
                <w:rFonts w:ascii="Times New Roman" w:hAnsi="Times New Roman" w:cs="Times New Roman"/>
                <w:sz w:val="20"/>
                <w:szCs w:val="20"/>
              </w:rPr>
              <w:t>Compensate and acquire Title deeds for Assembly lands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7CA0CC8">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2D591E7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25,000.00</w:t>
            </w:r>
          </w:p>
        </w:tc>
        <w:tc>
          <w:tcPr>
            <w:tcW w:w="1251" w:type="dxa"/>
            <w:tcBorders>
              <w:top w:val="single" w:color="auto" w:sz="4" w:space="0"/>
              <w:left w:val="single" w:color="auto" w:sz="4" w:space="0"/>
              <w:bottom w:val="single" w:color="auto" w:sz="4" w:space="0"/>
              <w:right w:val="single" w:color="auto" w:sz="4" w:space="0"/>
            </w:tcBorders>
            <w:vAlign w:val="center"/>
          </w:tcPr>
          <w:p w14:paraId="4EF26B7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5124CF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A2050B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4C4546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2AE7569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7F22199">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EFFA147">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FDB118F">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23D8306">
            <w:pPr>
              <w:spacing w:line="240" w:lineRule="auto"/>
              <w:jc w:val="both"/>
              <w:rPr>
                <w:rFonts w:ascii="Times New Roman" w:hAnsi="Times New Roman" w:cs="Times New Roman"/>
                <w:sz w:val="20"/>
                <w:szCs w:val="20"/>
                <w:lang w:val="en-GB" w:eastAsia="en-GB"/>
              </w:rPr>
            </w:pPr>
          </w:p>
        </w:tc>
      </w:tr>
      <w:tr w14:paraId="41BF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5446F8B3">
            <w:pPr>
              <w:spacing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WORKS</w:t>
            </w:r>
          </w:p>
        </w:tc>
      </w:tr>
      <w:tr w14:paraId="5CB9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81DC5B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937143D">
            <w:pPr>
              <w:spacing w:line="240" w:lineRule="auto"/>
              <w:rPr>
                <w:rFonts w:ascii="Times New Roman" w:hAnsi="Times New Roman" w:cs="Times New Roman"/>
                <w:sz w:val="20"/>
                <w:szCs w:val="20"/>
              </w:rPr>
            </w:pPr>
            <w:r>
              <w:rPr>
                <w:rFonts w:ascii="Times New Roman" w:hAnsi="Times New Roman" w:cs="Times New Roman"/>
                <w:sz w:val="20"/>
                <w:szCs w:val="20"/>
              </w:rPr>
              <w:t>Support District Roads Improvement Programme (DRIP)</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1102D52">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24A76F5E">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100,000.00</w:t>
            </w:r>
          </w:p>
        </w:tc>
        <w:tc>
          <w:tcPr>
            <w:tcW w:w="1251" w:type="dxa"/>
            <w:tcBorders>
              <w:top w:val="single" w:color="auto" w:sz="4" w:space="0"/>
              <w:left w:val="single" w:color="auto" w:sz="4" w:space="0"/>
              <w:bottom w:val="single" w:color="auto" w:sz="4" w:space="0"/>
              <w:right w:val="single" w:color="auto" w:sz="4" w:space="0"/>
            </w:tcBorders>
            <w:vAlign w:val="center"/>
          </w:tcPr>
          <w:p w14:paraId="4668350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26C80DA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3BFFED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A0ECD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AA4F9D">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BD28A1">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CC8639">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7461B76">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7986724">
            <w:pPr>
              <w:spacing w:line="240" w:lineRule="auto"/>
              <w:jc w:val="both"/>
              <w:rPr>
                <w:rFonts w:ascii="Times New Roman" w:hAnsi="Times New Roman" w:cs="Times New Roman"/>
                <w:sz w:val="20"/>
                <w:szCs w:val="20"/>
                <w:lang w:val="en-GB" w:eastAsia="en-GB"/>
              </w:rPr>
            </w:pPr>
          </w:p>
        </w:tc>
      </w:tr>
      <w:tr w14:paraId="0824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AE6407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E43E3E8">
            <w:pPr>
              <w:spacing w:line="240" w:lineRule="auto"/>
              <w:rPr>
                <w:rFonts w:ascii="Times New Roman" w:hAnsi="Times New Roman" w:cs="Times New Roman"/>
                <w:sz w:val="20"/>
                <w:szCs w:val="20"/>
              </w:rPr>
            </w:pPr>
            <w:r>
              <w:rPr>
                <w:rFonts w:ascii="Times New Roman" w:hAnsi="Times New Roman" w:cs="Times New Roman"/>
                <w:sz w:val="20"/>
                <w:szCs w:val="20"/>
              </w:rPr>
              <w:t>Reshape Feeder roads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D8B0A7C">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7A1DEA4B">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200,000.00</w:t>
            </w:r>
          </w:p>
        </w:tc>
        <w:tc>
          <w:tcPr>
            <w:tcW w:w="1251" w:type="dxa"/>
            <w:tcBorders>
              <w:top w:val="single" w:color="auto" w:sz="4" w:space="0"/>
              <w:left w:val="single" w:color="auto" w:sz="4" w:space="0"/>
              <w:bottom w:val="single" w:color="auto" w:sz="4" w:space="0"/>
              <w:right w:val="single" w:color="auto" w:sz="4" w:space="0"/>
            </w:tcBorders>
            <w:vAlign w:val="center"/>
          </w:tcPr>
          <w:p w14:paraId="68B248B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A9D607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28B6F7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4093E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76028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4C663D">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FB009C">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6D534154">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DFE197F">
            <w:pPr>
              <w:spacing w:line="240" w:lineRule="auto"/>
              <w:jc w:val="both"/>
              <w:rPr>
                <w:rFonts w:ascii="Times New Roman" w:hAnsi="Times New Roman" w:cs="Times New Roman"/>
                <w:sz w:val="20"/>
                <w:szCs w:val="20"/>
                <w:lang w:val="en-GB" w:eastAsia="en-GB"/>
              </w:rPr>
            </w:pPr>
          </w:p>
        </w:tc>
      </w:tr>
      <w:tr w14:paraId="36E3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8A01A7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124C11F">
            <w:pPr>
              <w:spacing w:line="240" w:lineRule="auto"/>
              <w:rPr>
                <w:rFonts w:ascii="Times New Roman" w:hAnsi="Times New Roman" w:cs="Times New Roman"/>
                <w:sz w:val="20"/>
                <w:szCs w:val="20"/>
              </w:rPr>
            </w:pPr>
            <w:r>
              <w:rPr>
                <w:rFonts w:ascii="Times New Roman" w:hAnsi="Times New Roman" w:cs="Times New Roman"/>
                <w:sz w:val="20"/>
                <w:szCs w:val="20"/>
              </w:rPr>
              <w:t xml:space="preserve">Install road signs and speed ramps </w:t>
            </w:r>
            <w:r>
              <w:rPr>
                <w:rFonts w:ascii="Times New Roman" w:hAnsi="Times New Roman" w:cs="Times New Roman"/>
                <w:bCs/>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A116CF8">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098E547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20,000.00S</w:t>
            </w:r>
          </w:p>
        </w:tc>
        <w:tc>
          <w:tcPr>
            <w:tcW w:w="1251" w:type="dxa"/>
            <w:tcBorders>
              <w:top w:val="single" w:color="auto" w:sz="4" w:space="0"/>
              <w:left w:val="single" w:color="auto" w:sz="4" w:space="0"/>
              <w:bottom w:val="single" w:color="auto" w:sz="4" w:space="0"/>
              <w:right w:val="single" w:color="auto" w:sz="4" w:space="0"/>
            </w:tcBorders>
            <w:vAlign w:val="center"/>
          </w:tcPr>
          <w:p w14:paraId="344B2DAD">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4324148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A3427E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EABC5B">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48ABD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F4A367">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2D99E2">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775497F">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991512C">
            <w:pPr>
              <w:spacing w:line="240" w:lineRule="auto"/>
              <w:jc w:val="both"/>
              <w:rPr>
                <w:rFonts w:ascii="Times New Roman" w:hAnsi="Times New Roman" w:cs="Times New Roman"/>
                <w:sz w:val="20"/>
                <w:szCs w:val="20"/>
                <w:lang w:val="en-GB" w:eastAsia="en-GB"/>
              </w:rPr>
            </w:pPr>
          </w:p>
        </w:tc>
      </w:tr>
      <w:tr w14:paraId="424C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E809AF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6C6637B">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Create town roads/lanes/ access roads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3E3266D">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3C45D4A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500,000.00</w:t>
            </w:r>
          </w:p>
        </w:tc>
        <w:tc>
          <w:tcPr>
            <w:tcW w:w="1251" w:type="dxa"/>
            <w:tcBorders>
              <w:top w:val="single" w:color="auto" w:sz="4" w:space="0"/>
              <w:left w:val="single" w:color="auto" w:sz="4" w:space="0"/>
              <w:bottom w:val="single" w:color="auto" w:sz="4" w:space="0"/>
              <w:right w:val="single" w:color="auto" w:sz="4" w:space="0"/>
            </w:tcBorders>
            <w:vAlign w:val="center"/>
          </w:tcPr>
          <w:p w14:paraId="5DFCC9B6">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5D3354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2B0407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A69E67">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17A896">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AB7428">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94116E">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A6D55D8">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F8311BD">
            <w:pPr>
              <w:spacing w:line="240" w:lineRule="auto"/>
              <w:jc w:val="both"/>
              <w:rPr>
                <w:rFonts w:ascii="Times New Roman" w:hAnsi="Times New Roman" w:cs="Times New Roman"/>
                <w:sz w:val="20"/>
                <w:szCs w:val="20"/>
                <w:lang w:val="en-GB" w:eastAsia="en-GB"/>
              </w:rPr>
            </w:pPr>
          </w:p>
        </w:tc>
      </w:tr>
      <w:tr w14:paraId="70BC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89BF7F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283CDA9">
            <w:pPr>
              <w:spacing w:line="240" w:lineRule="auto"/>
              <w:rPr>
                <w:rFonts w:ascii="Times New Roman" w:hAnsi="Times New Roman" w:cs="Times New Roman"/>
                <w:sz w:val="20"/>
                <w:szCs w:val="20"/>
              </w:rPr>
            </w:pPr>
            <w:r>
              <w:rPr>
                <w:rFonts w:ascii="Times New Roman" w:hAnsi="Times New Roman" w:cs="Times New Roman"/>
                <w:sz w:val="20"/>
                <w:szCs w:val="20"/>
              </w:rPr>
              <w:t xml:space="preserve">  Support MPs  projects</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575C8EC">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42AA019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250,000.00</w:t>
            </w:r>
          </w:p>
        </w:tc>
        <w:tc>
          <w:tcPr>
            <w:tcW w:w="1251" w:type="dxa"/>
            <w:tcBorders>
              <w:top w:val="single" w:color="auto" w:sz="4" w:space="0"/>
              <w:left w:val="single" w:color="auto" w:sz="4" w:space="0"/>
              <w:bottom w:val="single" w:color="auto" w:sz="4" w:space="0"/>
              <w:right w:val="single" w:color="auto" w:sz="4" w:space="0"/>
            </w:tcBorders>
            <w:vAlign w:val="center"/>
          </w:tcPr>
          <w:p w14:paraId="0F0BE170">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55D4488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BEF176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E623C70">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09B562FE">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EA356A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B3F4CB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366E9D03">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C8A4D16">
            <w:pPr>
              <w:spacing w:line="240" w:lineRule="auto"/>
              <w:jc w:val="both"/>
              <w:rPr>
                <w:rFonts w:ascii="Times New Roman" w:hAnsi="Times New Roman" w:cs="Times New Roman"/>
                <w:sz w:val="20"/>
                <w:szCs w:val="20"/>
                <w:lang w:val="en-GB" w:eastAsia="en-GB"/>
              </w:rPr>
            </w:pPr>
          </w:p>
        </w:tc>
      </w:tr>
      <w:tr w14:paraId="40B8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DFFEBA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DFFE165">
            <w:pPr>
              <w:spacing w:line="240" w:lineRule="auto"/>
              <w:rPr>
                <w:rFonts w:ascii="Times New Roman" w:hAnsi="Times New Roman" w:cs="Times New Roman"/>
                <w:sz w:val="20"/>
                <w:szCs w:val="20"/>
              </w:rPr>
            </w:pPr>
            <w:r>
              <w:rPr>
                <w:rFonts w:ascii="Times New Roman" w:hAnsi="Times New Roman" w:cs="Times New Roman"/>
                <w:sz w:val="20"/>
                <w:szCs w:val="20"/>
              </w:rPr>
              <w:t>Support Contract Management</w:t>
            </w:r>
            <w:r>
              <w:rPr>
                <w:rFonts w:ascii="Times New Roman" w:hAnsi="Times New Roman" w:cs="Times New Roman"/>
                <w:bCs/>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C76D268">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3572BD25">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300,000.00</w:t>
            </w:r>
          </w:p>
        </w:tc>
        <w:tc>
          <w:tcPr>
            <w:tcW w:w="1251" w:type="dxa"/>
            <w:tcBorders>
              <w:top w:val="single" w:color="auto" w:sz="4" w:space="0"/>
              <w:left w:val="single" w:color="auto" w:sz="4" w:space="0"/>
              <w:bottom w:val="single" w:color="auto" w:sz="4" w:space="0"/>
              <w:right w:val="single" w:color="auto" w:sz="4" w:space="0"/>
            </w:tcBorders>
            <w:vAlign w:val="center"/>
          </w:tcPr>
          <w:p w14:paraId="0DCEF45C">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57811E9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F7ECD3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E945CD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6CBAD9CE">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742A008">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20237D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A24D9EC">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2C8E9A9">
            <w:pPr>
              <w:spacing w:line="240" w:lineRule="auto"/>
              <w:jc w:val="both"/>
              <w:rPr>
                <w:rFonts w:ascii="Times New Roman" w:hAnsi="Times New Roman" w:cs="Times New Roman"/>
                <w:sz w:val="20"/>
                <w:szCs w:val="20"/>
                <w:lang w:val="en-GB" w:eastAsia="en-GB"/>
              </w:rPr>
            </w:pPr>
          </w:p>
        </w:tc>
      </w:tr>
      <w:tr w14:paraId="089B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878323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62C53FC">
            <w:pPr>
              <w:spacing w:line="240" w:lineRule="auto"/>
              <w:rPr>
                <w:rFonts w:ascii="Times New Roman" w:hAnsi="Times New Roman" w:cs="Times New Roman"/>
                <w:sz w:val="20"/>
                <w:szCs w:val="20"/>
              </w:rPr>
            </w:pPr>
            <w:r>
              <w:rPr>
                <w:rFonts w:ascii="Times New Roman" w:hAnsi="Times New Roman" w:cs="Times New Roman"/>
                <w:sz w:val="20"/>
                <w:szCs w:val="20"/>
              </w:rPr>
              <w:t xml:space="preserve">Support Self-help projects </w:t>
            </w:r>
            <w:r>
              <w:rPr>
                <w:rFonts w:ascii="Times New Roman" w:hAnsi="Times New Roman" w:cs="Times New Roman"/>
                <w:bCs/>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D9EADC1">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7B7CC2B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200,000.00</w:t>
            </w:r>
          </w:p>
        </w:tc>
        <w:tc>
          <w:tcPr>
            <w:tcW w:w="1251" w:type="dxa"/>
            <w:tcBorders>
              <w:top w:val="single" w:color="auto" w:sz="4" w:space="0"/>
              <w:left w:val="single" w:color="auto" w:sz="4" w:space="0"/>
              <w:bottom w:val="single" w:color="auto" w:sz="4" w:space="0"/>
              <w:right w:val="single" w:color="auto" w:sz="4" w:space="0"/>
            </w:tcBorders>
            <w:vAlign w:val="center"/>
          </w:tcPr>
          <w:p w14:paraId="7C45EA9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2146CC6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41B470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580D4AD">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0A6BB15D">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07FFF5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972D205">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34EFCC81">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E853DAA">
            <w:pPr>
              <w:spacing w:line="240" w:lineRule="auto"/>
              <w:jc w:val="both"/>
              <w:rPr>
                <w:rFonts w:ascii="Times New Roman" w:hAnsi="Times New Roman" w:cs="Times New Roman"/>
                <w:sz w:val="20"/>
                <w:szCs w:val="20"/>
                <w:lang w:val="en-GB" w:eastAsia="en-GB"/>
              </w:rPr>
            </w:pPr>
          </w:p>
        </w:tc>
      </w:tr>
      <w:tr w14:paraId="52A6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1131F3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5A1CDD5">
            <w:pPr>
              <w:spacing w:line="240" w:lineRule="auto"/>
              <w:rPr>
                <w:rFonts w:ascii="Times New Roman" w:hAnsi="Times New Roman" w:cs="Times New Roman"/>
                <w:sz w:val="20"/>
                <w:szCs w:val="20"/>
              </w:rPr>
            </w:pPr>
            <w:r>
              <w:rPr>
                <w:rFonts w:ascii="Times New Roman" w:hAnsi="Times New Roman" w:cs="Times New Roman"/>
                <w:sz w:val="20"/>
                <w:szCs w:val="20"/>
              </w:rPr>
              <w:t xml:space="preserve">Provide, install and repair Streets lights </w:t>
            </w:r>
            <w:r>
              <w:rPr>
                <w:rFonts w:ascii="Times New Roman" w:hAnsi="Times New Roman" w:cs="Times New Roman"/>
                <w:bCs/>
                <w:sz w:val="20"/>
                <w:szCs w:val="20"/>
              </w:rPr>
              <w:t>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B625573">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5674D3E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5AF2F8F2">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645518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C566EC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AE5B3D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19314B99">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32DF62A">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5496AF8">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C999165">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A6BBFB6">
            <w:pPr>
              <w:spacing w:line="240" w:lineRule="auto"/>
              <w:jc w:val="both"/>
              <w:rPr>
                <w:rFonts w:ascii="Times New Roman" w:hAnsi="Times New Roman" w:cs="Times New Roman"/>
                <w:sz w:val="20"/>
                <w:szCs w:val="20"/>
                <w:lang w:val="en-GB" w:eastAsia="en-GB"/>
              </w:rPr>
            </w:pPr>
          </w:p>
        </w:tc>
      </w:tr>
      <w:tr w14:paraId="4274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668804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20E8748">
            <w:pPr>
              <w:spacing w:line="240" w:lineRule="auto"/>
              <w:rPr>
                <w:rFonts w:ascii="Times New Roman" w:hAnsi="Times New Roman" w:cs="Times New Roman"/>
                <w:sz w:val="20"/>
                <w:szCs w:val="20"/>
              </w:rPr>
            </w:pPr>
            <w:r>
              <w:rPr>
                <w:rFonts w:ascii="Times New Roman" w:hAnsi="Times New Roman" w:cs="Times New Roman"/>
                <w:sz w:val="20"/>
                <w:szCs w:val="20"/>
              </w:rPr>
              <w:t>Extend Electricity to communities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26873F5">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7C35243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500,000.00</w:t>
            </w:r>
          </w:p>
        </w:tc>
        <w:tc>
          <w:tcPr>
            <w:tcW w:w="1251" w:type="dxa"/>
            <w:tcBorders>
              <w:top w:val="single" w:color="auto" w:sz="4" w:space="0"/>
              <w:left w:val="single" w:color="auto" w:sz="4" w:space="0"/>
              <w:bottom w:val="single" w:color="auto" w:sz="4" w:space="0"/>
              <w:right w:val="single" w:color="auto" w:sz="4" w:space="0"/>
            </w:tcBorders>
            <w:vAlign w:val="center"/>
          </w:tcPr>
          <w:p w14:paraId="1DBB5B3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7A8493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E0EA2B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28451F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49495FA0">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EE6505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12" w:type="dxa"/>
            <w:tcBorders>
              <w:top w:val="single" w:color="auto" w:sz="4" w:space="0"/>
              <w:left w:val="single" w:color="auto" w:sz="4" w:space="0"/>
              <w:bottom w:val="single" w:color="auto" w:sz="4" w:space="0"/>
              <w:right w:val="single" w:color="auto" w:sz="4" w:space="0"/>
            </w:tcBorders>
            <w:vAlign w:val="center"/>
          </w:tcPr>
          <w:p w14:paraId="04A61EC9">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3F7C96D">
            <w:pPr>
              <w:spacing w:line="240" w:lineRule="auto"/>
              <w:jc w:val="center"/>
              <w:rPr>
                <w:rFonts w:ascii="Times New Roman" w:hAnsi="Times New Roman" w:cs="Times New Roman"/>
                <w:sz w:val="20"/>
                <w:szCs w:val="20"/>
              </w:rPr>
            </w:pPr>
            <w:r>
              <w:rPr>
                <w:rFonts w:ascii="Times New Roman" w:hAnsi="Times New Roman" w:cs="Times New Roman"/>
                <w:sz w:val="20"/>
                <w:szCs w:val="20"/>
              </w:rPr>
              <w:t>OOn-goin On-going g</w:t>
            </w:r>
          </w:p>
        </w:tc>
        <w:tc>
          <w:tcPr>
            <w:tcW w:w="990" w:type="dxa"/>
            <w:tcBorders>
              <w:top w:val="single" w:color="auto" w:sz="4" w:space="0"/>
              <w:left w:val="single" w:color="auto" w:sz="4" w:space="0"/>
              <w:bottom w:val="single" w:color="auto" w:sz="4" w:space="0"/>
              <w:right w:val="single" w:color="auto" w:sz="4" w:space="0"/>
            </w:tcBorders>
            <w:vAlign w:val="center"/>
          </w:tcPr>
          <w:p w14:paraId="03F75496">
            <w:pPr>
              <w:spacing w:line="240" w:lineRule="auto"/>
              <w:jc w:val="both"/>
              <w:rPr>
                <w:rFonts w:ascii="Times New Roman" w:hAnsi="Times New Roman" w:cs="Times New Roman"/>
                <w:sz w:val="20"/>
                <w:szCs w:val="20"/>
                <w:lang w:val="en-GB" w:eastAsia="en-GB"/>
              </w:rPr>
            </w:pPr>
          </w:p>
        </w:tc>
      </w:tr>
      <w:tr w14:paraId="05E8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032DBE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A2B28C7">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Provide  Network Booster</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4C8176F">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7B37DF8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45,000.00</w:t>
            </w:r>
          </w:p>
        </w:tc>
        <w:tc>
          <w:tcPr>
            <w:tcW w:w="1251" w:type="dxa"/>
            <w:tcBorders>
              <w:top w:val="single" w:color="auto" w:sz="4" w:space="0"/>
              <w:left w:val="single" w:color="auto" w:sz="4" w:space="0"/>
              <w:bottom w:val="single" w:color="auto" w:sz="4" w:space="0"/>
              <w:right w:val="single" w:color="auto" w:sz="4" w:space="0"/>
            </w:tcBorders>
            <w:vAlign w:val="center"/>
          </w:tcPr>
          <w:p w14:paraId="29882972">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7AAD2C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F6415E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DA7EB1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0DF2E4D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A40EB6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212" w:type="dxa"/>
            <w:tcBorders>
              <w:top w:val="single" w:color="auto" w:sz="4" w:space="0"/>
              <w:left w:val="single" w:color="auto" w:sz="4" w:space="0"/>
              <w:bottom w:val="single" w:color="auto" w:sz="4" w:space="0"/>
              <w:right w:val="single" w:color="auto" w:sz="4" w:space="0"/>
            </w:tcBorders>
            <w:vAlign w:val="center"/>
          </w:tcPr>
          <w:p w14:paraId="6792F70D">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C1C8F82">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3EBA2347">
            <w:pPr>
              <w:spacing w:line="240" w:lineRule="auto"/>
              <w:jc w:val="both"/>
              <w:rPr>
                <w:rFonts w:ascii="Times New Roman" w:hAnsi="Times New Roman" w:cs="Times New Roman"/>
                <w:sz w:val="20"/>
                <w:szCs w:val="20"/>
                <w:lang w:val="en-GB" w:eastAsia="en-GB"/>
              </w:rPr>
            </w:pPr>
          </w:p>
        </w:tc>
      </w:tr>
      <w:tr w14:paraId="76C3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35ED96E8">
            <w:pPr>
              <w:spacing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TRANSPORT</w:t>
            </w:r>
          </w:p>
        </w:tc>
      </w:tr>
      <w:tr w14:paraId="7BAE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58AE96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D28D5AF">
            <w:pPr>
              <w:spacing w:line="240" w:lineRule="auto"/>
              <w:rPr>
                <w:rFonts w:ascii="Times New Roman" w:hAnsi="Times New Roman" w:cs="Times New Roman"/>
                <w:sz w:val="20"/>
                <w:szCs w:val="20"/>
              </w:rPr>
            </w:pPr>
            <w:r>
              <w:rPr>
                <w:rFonts w:ascii="Times New Roman" w:hAnsi="Times New Roman" w:cs="Times New Roman"/>
                <w:sz w:val="20"/>
                <w:szCs w:val="20"/>
              </w:rPr>
              <w:t xml:space="preserve">Register and organize eye screening for transport unions, prajia drivers in the district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129A5612">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45E4AC8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70BCB061">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1C76F8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B0F46D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41E99E7">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2502F1E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D082E7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DEAB65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061E2DF">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64978D9">
            <w:pPr>
              <w:spacing w:line="240" w:lineRule="auto"/>
              <w:jc w:val="both"/>
              <w:rPr>
                <w:rFonts w:ascii="Times New Roman" w:hAnsi="Times New Roman" w:cs="Times New Roman"/>
                <w:sz w:val="20"/>
                <w:szCs w:val="20"/>
                <w:lang w:val="en-GB" w:eastAsia="en-GB"/>
              </w:rPr>
            </w:pPr>
          </w:p>
        </w:tc>
      </w:tr>
      <w:tr w14:paraId="52C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0943FE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264CFF2">
            <w:pPr>
              <w:spacing w:line="240" w:lineRule="auto"/>
              <w:rPr>
                <w:rFonts w:ascii="Times New Roman" w:hAnsi="Times New Roman" w:cs="Times New Roman"/>
                <w:sz w:val="20"/>
                <w:szCs w:val="20"/>
              </w:rPr>
            </w:pPr>
            <w:r>
              <w:rPr>
                <w:rFonts w:ascii="Times New Roman" w:hAnsi="Times New Roman" w:cs="Times New Roman"/>
                <w:sz w:val="20"/>
                <w:szCs w:val="20"/>
              </w:rPr>
              <w:t>Train and sensitize transport unions, prajia operators on road signs and safety measures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08A4BE2">
            <w:pPr>
              <w:spacing w:line="240" w:lineRule="auto"/>
              <w:rPr>
                <w:rFonts w:ascii="Times New Roman" w:hAnsi="Times New Roman" w:cs="Times New Roman"/>
                <w:sz w:val="20"/>
                <w:szCs w:val="20"/>
              </w:rPr>
            </w:pPr>
            <w:r>
              <w:rPr>
                <w:rFonts w:ascii="Times New Roman" w:hAnsi="Times New Roman" w:cs="Times New Roman"/>
                <w:sz w:val="20"/>
                <w:szCs w:val="20"/>
                <w:lang w:val="en-GB"/>
              </w:rPr>
              <w:t>Environment, Infrastructure and Human Settlement</w:t>
            </w:r>
          </w:p>
        </w:tc>
        <w:tc>
          <w:tcPr>
            <w:tcW w:w="1157" w:type="dxa"/>
            <w:tcBorders>
              <w:top w:val="single" w:color="auto" w:sz="4" w:space="0"/>
              <w:left w:val="single" w:color="auto" w:sz="4" w:space="0"/>
              <w:bottom w:val="single" w:color="auto" w:sz="4" w:space="0"/>
              <w:right w:val="single" w:color="auto" w:sz="4" w:space="0"/>
            </w:tcBorders>
            <w:vAlign w:val="center"/>
          </w:tcPr>
          <w:p w14:paraId="348DF63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452A8E84">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CAA3A3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987344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2ED76C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7AF1F120">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EBC541C">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9F376D7">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C22C03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C34DAF8">
            <w:pPr>
              <w:spacing w:line="240" w:lineRule="auto"/>
              <w:jc w:val="both"/>
              <w:rPr>
                <w:rFonts w:ascii="Times New Roman" w:hAnsi="Times New Roman" w:cs="Times New Roman"/>
                <w:sz w:val="20"/>
                <w:szCs w:val="20"/>
                <w:lang w:val="en-GB" w:eastAsia="en-GB"/>
              </w:rPr>
            </w:pPr>
          </w:p>
        </w:tc>
      </w:tr>
      <w:tr w14:paraId="106C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55E36A2A">
            <w:pPr>
              <w:spacing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NADMO</w:t>
            </w:r>
          </w:p>
        </w:tc>
      </w:tr>
      <w:tr w14:paraId="726C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3F154A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C48F47D">
            <w:pPr>
              <w:spacing w:line="240" w:lineRule="auto"/>
              <w:rPr>
                <w:rFonts w:ascii="Times New Roman" w:hAnsi="Times New Roman" w:cs="Times New Roman"/>
                <w:sz w:val="20"/>
                <w:szCs w:val="20"/>
              </w:rPr>
            </w:pPr>
            <w:r>
              <w:rPr>
                <w:rFonts w:ascii="Times New Roman" w:hAnsi="Times New Roman" w:cs="Times New Roman"/>
                <w:sz w:val="20"/>
                <w:szCs w:val="20"/>
              </w:rPr>
              <w:t>Organize Public education on disaster prevention-(flooding, rain/windstorm, domestic bushfires/epidemics, erosion and land degradation)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5D8423E">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74720E6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569F6301">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BA5F24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84BA01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849BBE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7FBB02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45185CC">
            <w:pPr>
              <w:spacing w:after="0" w:line="240" w:lineRule="auto"/>
              <w:jc w:val="center"/>
              <w:rPr>
                <w:rFonts w:ascii="Times New Roman" w:hAnsi="Times New Roman" w:cs="Times New Roman"/>
                <w:sz w:val="20"/>
                <w:szCs w:val="20"/>
              </w:rPr>
            </w:pPr>
          </w:p>
        </w:tc>
        <w:tc>
          <w:tcPr>
            <w:tcW w:w="1212" w:type="dxa"/>
            <w:tcBorders>
              <w:top w:val="single" w:color="auto" w:sz="4" w:space="0"/>
              <w:left w:val="single" w:color="auto" w:sz="4" w:space="0"/>
              <w:bottom w:val="single" w:color="auto" w:sz="4" w:space="0"/>
              <w:right w:val="single" w:color="auto" w:sz="4" w:space="0"/>
            </w:tcBorders>
            <w:vAlign w:val="center"/>
          </w:tcPr>
          <w:p w14:paraId="0686C0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943610" cy="78803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960909" cy="802195"/>
                          </a:xfrm>
                          <a:prstGeom prst="rect">
                            <a:avLst/>
                          </a:prstGeom>
                          <a:noFill/>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A8FC1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81255A2">
            <w:pPr>
              <w:spacing w:line="240" w:lineRule="auto"/>
              <w:jc w:val="center"/>
              <w:rPr>
                <w:rFonts w:ascii="Times New Roman" w:hAnsi="Times New Roman" w:cs="Times New Roman"/>
                <w:sz w:val="20"/>
                <w:szCs w:val="20"/>
                <w:lang w:val="en-GB" w:eastAsia="en-GB"/>
              </w:rPr>
            </w:pPr>
          </w:p>
        </w:tc>
      </w:tr>
      <w:tr w14:paraId="36A1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B23E90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BAEA580">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Assessed and register  disaster incidents and victims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6100D0C">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50D14E6A">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08BA162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5F14B6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4E6C22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3B419A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3F4A004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4F88180">
            <w:pPr>
              <w:spacing w:after="0" w:line="240" w:lineRule="auto"/>
              <w:jc w:val="center"/>
              <w:rPr>
                <w:rFonts w:ascii="Times New Roman" w:hAnsi="Times New Roman" w:cs="Times New Roman"/>
                <w:sz w:val="20"/>
                <w:szCs w:val="20"/>
              </w:rPr>
            </w:pPr>
          </w:p>
        </w:tc>
        <w:tc>
          <w:tcPr>
            <w:tcW w:w="1212" w:type="dxa"/>
            <w:tcBorders>
              <w:top w:val="single" w:color="auto" w:sz="4" w:space="0"/>
              <w:left w:val="single" w:color="auto" w:sz="4" w:space="0"/>
              <w:bottom w:val="single" w:color="auto" w:sz="4" w:space="0"/>
              <w:right w:val="single" w:color="auto" w:sz="4" w:space="0"/>
            </w:tcBorders>
            <w:vAlign w:val="center"/>
          </w:tcPr>
          <w:p w14:paraId="1C8CD4B5">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1C8E8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39F0574">
            <w:pPr>
              <w:spacing w:line="240" w:lineRule="auto"/>
              <w:jc w:val="center"/>
              <w:rPr>
                <w:rFonts w:ascii="Times New Roman" w:hAnsi="Times New Roman" w:cs="Times New Roman"/>
                <w:sz w:val="20"/>
                <w:szCs w:val="20"/>
                <w:lang w:val="en-GB" w:eastAsia="en-GB"/>
              </w:rPr>
            </w:pPr>
          </w:p>
        </w:tc>
      </w:tr>
      <w:tr w14:paraId="7316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E86C7F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3B1E50E">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Distribute  relief items to disaster victims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0AAD4F3D">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35C5821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751CAFA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88A965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7B591B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BA50A93">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0593A078">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B7FC0D6">
            <w:pPr>
              <w:spacing w:after="0" w:line="240" w:lineRule="auto"/>
              <w:jc w:val="center"/>
              <w:rPr>
                <w:rFonts w:ascii="Times New Roman" w:hAnsi="Times New Roman" w:cs="Times New Roman"/>
                <w:sz w:val="20"/>
                <w:szCs w:val="20"/>
              </w:rPr>
            </w:pPr>
          </w:p>
        </w:tc>
        <w:tc>
          <w:tcPr>
            <w:tcW w:w="1212" w:type="dxa"/>
            <w:tcBorders>
              <w:top w:val="single" w:color="auto" w:sz="4" w:space="0"/>
              <w:left w:val="single" w:color="auto" w:sz="4" w:space="0"/>
              <w:bottom w:val="single" w:color="auto" w:sz="4" w:space="0"/>
              <w:right w:val="single" w:color="auto" w:sz="4" w:space="0"/>
            </w:tcBorders>
            <w:vAlign w:val="center"/>
          </w:tcPr>
          <w:p w14:paraId="3F158FC8">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drawing>
                <wp:inline distT="0" distB="0" distL="0" distR="0">
                  <wp:extent cx="842010" cy="6121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866051" cy="629662"/>
                          </a:xfrm>
                          <a:prstGeom prst="rect">
                            <a:avLst/>
                          </a:prstGeom>
                          <a:noFill/>
                        </pic:spPr>
                      </pic:pic>
                    </a:graphicData>
                  </a:graphic>
                </wp:inline>
              </w:drawing>
            </w:r>
          </w:p>
          <w:p w14:paraId="3939D4C8">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drawing>
                <wp:inline distT="0" distB="0" distL="0" distR="0">
                  <wp:extent cx="920750" cy="5803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939588" cy="591944"/>
                          </a:xfrm>
                          <a:prstGeom prst="rect">
                            <a:avLst/>
                          </a:prstGeom>
                          <a:noFill/>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AA4D06C">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1FDCC249">
            <w:pPr>
              <w:spacing w:line="240" w:lineRule="auto"/>
              <w:jc w:val="center"/>
              <w:rPr>
                <w:rFonts w:ascii="Times New Roman" w:hAnsi="Times New Roman" w:cs="Times New Roman"/>
                <w:sz w:val="20"/>
                <w:szCs w:val="20"/>
                <w:lang w:val="en-GB" w:eastAsia="en-GB"/>
              </w:rPr>
            </w:pPr>
          </w:p>
        </w:tc>
      </w:tr>
      <w:tr w14:paraId="57C7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6832387">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FF6CA62">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Visits and sensitize  Disaster Volunteer Groups in communities (DVGs)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9BEF15D">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4D3E358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669782F5">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D87DCD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02F731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75F8E39">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27E0227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C97B999">
            <w:pPr>
              <w:spacing w:after="0" w:line="240" w:lineRule="auto"/>
              <w:jc w:val="center"/>
              <w:rPr>
                <w:rFonts w:ascii="Times New Roman" w:hAnsi="Times New Roman" w:cs="Times New Roman"/>
                <w:sz w:val="20"/>
                <w:szCs w:val="20"/>
              </w:rPr>
            </w:pPr>
          </w:p>
        </w:tc>
        <w:tc>
          <w:tcPr>
            <w:tcW w:w="1212" w:type="dxa"/>
            <w:tcBorders>
              <w:top w:val="single" w:color="auto" w:sz="4" w:space="0"/>
              <w:left w:val="single" w:color="auto" w:sz="4" w:space="0"/>
              <w:bottom w:val="single" w:color="auto" w:sz="4" w:space="0"/>
              <w:right w:val="single" w:color="auto" w:sz="4" w:space="0"/>
            </w:tcBorders>
            <w:vAlign w:val="center"/>
          </w:tcPr>
          <w:p w14:paraId="43B818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50900" cy="641985"/>
                  <wp:effectExtent l="0" t="0" r="635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882034" cy="665706"/>
                          </a:xfrm>
                          <a:prstGeom prst="rect">
                            <a:avLst/>
                          </a:prstGeom>
                          <a:noFill/>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8917C6A">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05E96AB">
            <w:pPr>
              <w:spacing w:line="240" w:lineRule="auto"/>
              <w:jc w:val="center"/>
              <w:rPr>
                <w:rFonts w:ascii="Times New Roman" w:hAnsi="Times New Roman" w:cs="Times New Roman"/>
                <w:sz w:val="20"/>
                <w:szCs w:val="20"/>
                <w:lang w:val="en-GB" w:eastAsia="en-GB"/>
              </w:rPr>
            </w:pPr>
          </w:p>
        </w:tc>
      </w:tr>
      <w:tr w14:paraId="6646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934523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743F6E8">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quarterly District Disaster Management Committee Meetings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563E8B7">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24E3846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475C428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9713BB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80BB87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4AF70F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598C6F44">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B9579DD">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070FE49">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9D7F8AE">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D6C13F5">
            <w:pPr>
              <w:spacing w:line="240" w:lineRule="auto"/>
              <w:jc w:val="center"/>
              <w:rPr>
                <w:rFonts w:ascii="Times New Roman" w:hAnsi="Times New Roman" w:cs="Times New Roman"/>
                <w:sz w:val="20"/>
                <w:szCs w:val="20"/>
                <w:lang w:val="en-GB" w:eastAsia="en-GB"/>
              </w:rPr>
            </w:pPr>
          </w:p>
        </w:tc>
      </w:tr>
      <w:tr w14:paraId="4D65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DD42D2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FD488DC">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Celebrate  International disaster day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7931E09">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11F42F5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5FC9D26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C9AC96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92CA55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0D0EF2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6A73632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7AF29DA">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45E58A54">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1F89534">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0880B9D2">
            <w:pPr>
              <w:spacing w:line="240" w:lineRule="auto"/>
              <w:jc w:val="center"/>
              <w:rPr>
                <w:rFonts w:ascii="Times New Roman" w:hAnsi="Times New Roman" w:cs="Times New Roman"/>
                <w:sz w:val="20"/>
                <w:szCs w:val="20"/>
                <w:lang w:val="en-GB" w:eastAsia="en-GB"/>
              </w:rPr>
            </w:pPr>
          </w:p>
        </w:tc>
      </w:tr>
      <w:tr w14:paraId="7F2E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4B4171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BE66003">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Prepare Disaster Management Plan (2026-2029)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FFE35B2">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365EC90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6D51EEF2">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B48B3F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F2D2D4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32DC95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3E91E752">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E64110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FEE0405">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91D22EF">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DD212F9">
            <w:pPr>
              <w:spacing w:line="240" w:lineRule="auto"/>
              <w:jc w:val="center"/>
              <w:rPr>
                <w:rFonts w:ascii="Times New Roman" w:hAnsi="Times New Roman" w:cs="Times New Roman"/>
                <w:sz w:val="20"/>
                <w:szCs w:val="20"/>
                <w:lang w:val="en-GB" w:eastAsia="en-GB"/>
              </w:rPr>
            </w:pPr>
          </w:p>
        </w:tc>
      </w:tr>
      <w:tr w14:paraId="3CE7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08AB98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4FCD999">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Conduct 2 Patrols to inspect and educate filling station operators on safety and regulatory compliance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3347CBB">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5FA1C39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5BDA21EB">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A5423F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8F399C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45F8790">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3FE08D75">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49F9BCB">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A288FDE">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123F850">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BF9E588">
            <w:pPr>
              <w:spacing w:line="240" w:lineRule="auto"/>
              <w:jc w:val="center"/>
              <w:rPr>
                <w:rFonts w:ascii="Times New Roman" w:hAnsi="Times New Roman" w:cs="Times New Roman"/>
                <w:sz w:val="20"/>
                <w:szCs w:val="20"/>
                <w:lang w:val="en-GB" w:eastAsia="en-GB"/>
              </w:rPr>
            </w:pPr>
          </w:p>
        </w:tc>
      </w:tr>
      <w:tr w14:paraId="7F7D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B68F6F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4D814A4">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Plant and inspect   economic trees  (Neem tree, Oil Palm, Mango, Coconut, Orange, Moringa)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09C8B0F">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608F69C2">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4,000.00</w:t>
            </w:r>
          </w:p>
        </w:tc>
        <w:tc>
          <w:tcPr>
            <w:tcW w:w="1251" w:type="dxa"/>
            <w:tcBorders>
              <w:top w:val="single" w:color="auto" w:sz="4" w:space="0"/>
              <w:left w:val="single" w:color="auto" w:sz="4" w:space="0"/>
              <w:bottom w:val="single" w:color="auto" w:sz="4" w:space="0"/>
              <w:right w:val="single" w:color="auto" w:sz="4" w:space="0"/>
            </w:tcBorders>
            <w:vAlign w:val="center"/>
          </w:tcPr>
          <w:p w14:paraId="78D910D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A68E2E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4D4772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5EAF8F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4,000.00</w:t>
            </w:r>
          </w:p>
        </w:tc>
        <w:tc>
          <w:tcPr>
            <w:tcW w:w="1276" w:type="dxa"/>
            <w:tcBorders>
              <w:top w:val="single" w:color="auto" w:sz="4" w:space="0"/>
              <w:left w:val="single" w:color="auto" w:sz="4" w:space="0"/>
              <w:bottom w:val="single" w:color="auto" w:sz="4" w:space="0"/>
              <w:right w:val="single" w:color="auto" w:sz="4" w:space="0"/>
            </w:tcBorders>
            <w:vAlign w:val="center"/>
          </w:tcPr>
          <w:p w14:paraId="625DFC9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AB0E78E">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7FB0083A">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F388A84">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7269DBA">
            <w:pPr>
              <w:spacing w:line="240" w:lineRule="auto"/>
              <w:jc w:val="center"/>
              <w:rPr>
                <w:rFonts w:ascii="Times New Roman" w:hAnsi="Times New Roman" w:cs="Times New Roman"/>
                <w:sz w:val="20"/>
                <w:szCs w:val="20"/>
                <w:lang w:val="en-GB" w:eastAsia="en-GB"/>
              </w:rPr>
            </w:pPr>
          </w:p>
        </w:tc>
      </w:tr>
      <w:tr w14:paraId="6413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98C05CE">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BC77FA3">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Organise sensitization on  climate change and environmental protection and adopt to climate change activities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F7854DA">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665BF15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51" w:type="dxa"/>
            <w:tcBorders>
              <w:top w:val="single" w:color="auto" w:sz="4" w:space="0"/>
              <w:left w:val="single" w:color="auto" w:sz="4" w:space="0"/>
              <w:bottom w:val="single" w:color="auto" w:sz="4" w:space="0"/>
              <w:right w:val="single" w:color="auto" w:sz="4" w:space="0"/>
            </w:tcBorders>
            <w:vAlign w:val="center"/>
          </w:tcPr>
          <w:p w14:paraId="704718CE">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28F947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94070C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833556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345FA1A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3C9C369">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7E5A6603">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D087D3E">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9B9B2F9">
            <w:pPr>
              <w:spacing w:line="240" w:lineRule="auto"/>
              <w:jc w:val="center"/>
              <w:rPr>
                <w:rFonts w:ascii="Times New Roman" w:hAnsi="Times New Roman" w:cs="Times New Roman"/>
                <w:sz w:val="20"/>
                <w:szCs w:val="20"/>
                <w:lang w:val="en-GB" w:eastAsia="en-GB"/>
              </w:rPr>
            </w:pPr>
          </w:p>
        </w:tc>
      </w:tr>
      <w:tr w14:paraId="50B8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D5BB8F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2D335F7">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Green Ghana Day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BCA2FF4">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069E7AC9">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9,450.00</w:t>
            </w:r>
          </w:p>
        </w:tc>
        <w:tc>
          <w:tcPr>
            <w:tcW w:w="1251" w:type="dxa"/>
            <w:tcBorders>
              <w:top w:val="single" w:color="auto" w:sz="4" w:space="0"/>
              <w:left w:val="single" w:color="auto" w:sz="4" w:space="0"/>
              <w:bottom w:val="single" w:color="auto" w:sz="4" w:space="0"/>
              <w:right w:val="single" w:color="auto" w:sz="4" w:space="0"/>
            </w:tcBorders>
            <w:vAlign w:val="center"/>
          </w:tcPr>
          <w:p w14:paraId="08D92E04">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EC6FD6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2F37FB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276F3D5">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9,450.00</w:t>
            </w:r>
          </w:p>
        </w:tc>
        <w:tc>
          <w:tcPr>
            <w:tcW w:w="1276" w:type="dxa"/>
            <w:tcBorders>
              <w:top w:val="single" w:color="auto" w:sz="4" w:space="0"/>
              <w:left w:val="single" w:color="auto" w:sz="4" w:space="0"/>
              <w:bottom w:val="single" w:color="auto" w:sz="4" w:space="0"/>
              <w:right w:val="single" w:color="auto" w:sz="4" w:space="0"/>
            </w:tcBorders>
            <w:vAlign w:val="center"/>
          </w:tcPr>
          <w:p w14:paraId="38750B3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D3D4AB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3679490">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7BB2291">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129EEBD">
            <w:pPr>
              <w:spacing w:line="240" w:lineRule="auto"/>
              <w:jc w:val="center"/>
              <w:rPr>
                <w:rFonts w:ascii="Times New Roman" w:hAnsi="Times New Roman" w:cs="Times New Roman"/>
                <w:sz w:val="20"/>
                <w:szCs w:val="20"/>
                <w:lang w:val="en-GB" w:eastAsia="en-GB"/>
              </w:rPr>
            </w:pPr>
          </w:p>
        </w:tc>
      </w:tr>
      <w:tr w14:paraId="3322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827842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F06F4C8">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Organise Hazard Mapping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8E9AA92">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47417E1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w:t>
            </w:r>
          </w:p>
        </w:tc>
        <w:tc>
          <w:tcPr>
            <w:tcW w:w="1251" w:type="dxa"/>
            <w:tcBorders>
              <w:top w:val="single" w:color="auto" w:sz="4" w:space="0"/>
              <w:left w:val="single" w:color="auto" w:sz="4" w:space="0"/>
              <w:bottom w:val="single" w:color="auto" w:sz="4" w:space="0"/>
              <w:right w:val="single" w:color="auto" w:sz="4" w:space="0"/>
            </w:tcBorders>
            <w:vAlign w:val="center"/>
          </w:tcPr>
          <w:p w14:paraId="368E9358">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6B754C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23C773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4B73F4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w:t>
            </w:r>
          </w:p>
        </w:tc>
        <w:tc>
          <w:tcPr>
            <w:tcW w:w="1276" w:type="dxa"/>
            <w:tcBorders>
              <w:top w:val="single" w:color="auto" w:sz="4" w:space="0"/>
              <w:left w:val="single" w:color="auto" w:sz="4" w:space="0"/>
              <w:bottom w:val="single" w:color="auto" w:sz="4" w:space="0"/>
              <w:right w:val="single" w:color="auto" w:sz="4" w:space="0"/>
            </w:tcBorders>
            <w:vAlign w:val="center"/>
          </w:tcPr>
          <w:p w14:paraId="7503FBCE">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4E00CB1">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253A9B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2EA26291">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6AC180A">
            <w:pPr>
              <w:spacing w:line="240" w:lineRule="auto"/>
              <w:jc w:val="center"/>
              <w:rPr>
                <w:rFonts w:ascii="Times New Roman" w:hAnsi="Times New Roman" w:cs="Times New Roman"/>
                <w:sz w:val="20"/>
                <w:szCs w:val="20"/>
                <w:lang w:val="en-GB" w:eastAsia="en-GB"/>
              </w:rPr>
            </w:pPr>
          </w:p>
        </w:tc>
      </w:tr>
      <w:tr w14:paraId="3572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F546F50">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53F4759">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Conduct inspections and provide education at mining sites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7A101C4">
            <w:pPr>
              <w:spacing w:line="240" w:lineRule="auto"/>
              <w:rPr>
                <w:rFonts w:ascii="Times New Roman" w:hAnsi="Times New Roman" w:cs="Times New Roman"/>
                <w:sz w:val="20"/>
                <w:szCs w:val="20"/>
              </w:rPr>
            </w:pPr>
            <w:r>
              <w:rPr>
                <w:rFonts w:ascii="Times New Roman" w:hAnsi="Times New Roman" w:cs="Times New Roman"/>
                <w:sz w:val="20"/>
                <w:szCs w:val="20"/>
              </w:rPr>
              <w:t>Emergency planning and response ( Including Covid-19 recovery plan)</w:t>
            </w:r>
          </w:p>
        </w:tc>
        <w:tc>
          <w:tcPr>
            <w:tcW w:w="1157" w:type="dxa"/>
            <w:tcBorders>
              <w:top w:val="single" w:color="auto" w:sz="4" w:space="0"/>
              <w:left w:val="single" w:color="auto" w:sz="4" w:space="0"/>
              <w:bottom w:val="single" w:color="auto" w:sz="4" w:space="0"/>
              <w:right w:val="single" w:color="auto" w:sz="4" w:space="0"/>
            </w:tcBorders>
            <w:vAlign w:val="center"/>
          </w:tcPr>
          <w:p w14:paraId="66CD8D4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4,000.00</w:t>
            </w:r>
          </w:p>
        </w:tc>
        <w:tc>
          <w:tcPr>
            <w:tcW w:w="1251" w:type="dxa"/>
            <w:tcBorders>
              <w:top w:val="single" w:color="auto" w:sz="4" w:space="0"/>
              <w:left w:val="single" w:color="auto" w:sz="4" w:space="0"/>
              <w:bottom w:val="single" w:color="auto" w:sz="4" w:space="0"/>
              <w:right w:val="single" w:color="auto" w:sz="4" w:space="0"/>
            </w:tcBorders>
            <w:vAlign w:val="center"/>
          </w:tcPr>
          <w:p w14:paraId="76B1A4C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80C154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29A1A1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CE7CC82">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4,000.00</w:t>
            </w:r>
          </w:p>
        </w:tc>
        <w:tc>
          <w:tcPr>
            <w:tcW w:w="1276" w:type="dxa"/>
            <w:tcBorders>
              <w:top w:val="single" w:color="auto" w:sz="4" w:space="0"/>
              <w:left w:val="single" w:color="auto" w:sz="4" w:space="0"/>
              <w:bottom w:val="single" w:color="auto" w:sz="4" w:space="0"/>
              <w:right w:val="single" w:color="auto" w:sz="4" w:space="0"/>
            </w:tcBorders>
            <w:vAlign w:val="center"/>
          </w:tcPr>
          <w:p w14:paraId="339D5D2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70ACD4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470D94E">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84D62FF">
            <w:pPr>
              <w:spacing w:line="240" w:lineRule="auto"/>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BDBAC6C">
            <w:pPr>
              <w:spacing w:line="240" w:lineRule="auto"/>
              <w:jc w:val="center"/>
              <w:rPr>
                <w:rFonts w:ascii="Times New Roman" w:hAnsi="Times New Roman" w:cs="Times New Roman"/>
                <w:sz w:val="20"/>
                <w:szCs w:val="20"/>
                <w:lang w:val="en-GB" w:eastAsia="en-GB"/>
              </w:rPr>
            </w:pPr>
          </w:p>
        </w:tc>
      </w:tr>
      <w:tr w14:paraId="6EF5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085639D3">
            <w:pPr>
              <w:spacing w:after="0" w:line="240" w:lineRule="auto"/>
              <w:jc w:val="center"/>
              <w:rPr>
                <w:rFonts w:ascii="Times New Roman" w:hAnsi="Times New Roman" w:cs="Times New Roman"/>
                <w:b/>
                <w:bCs/>
                <w:sz w:val="20"/>
                <w:szCs w:val="20"/>
                <w:lang w:eastAsia="en-GB"/>
              </w:rPr>
            </w:pPr>
            <w:r>
              <w:rPr>
                <w:rFonts w:ascii="Times New Roman" w:hAnsi="Times New Roman" w:cs="Times New Roman"/>
                <w:b/>
                <w:bCs/>
                <w:sz w:val="20"/>
                <w:szCs w:val="20"/>
                <w:lang w:eastAsia="en-GB"/>
              </w:rPr>
              <w:t>ADMINISTRATION</w:t>
            </w:r>
          </w:p>
        </w:tc>
      </w:tr>
      <w:tr w14:paraId="3F8B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8D771E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C392B99">
            <w:pPr>
              <w:spacing w:line="240" w:lineRule="auto"/>
              <w:rPr>
                <w:rFonts w:ascii="Times New Roman" w:hAnsi="Times New Roman" w:cs="Times New Roman"/>
                <w:sz w:val="20"/>
                <w:szCs w:val="20"/>
              </w:rPr>
            </w:pPr>
            <w:r>
              <w:rPr>
                <w:rFonts w:ascii="Times New Roman" w:hAnsi="Times New Roman" w:cs="Times New Roman"/>
                <w:sz w:val="20"/>
                <w:szCs w:val="20"/>
              </w:rPr>
              <w:t xml:space="preserve">Organize Statutory meetings (General Assembly, Executive Committee, Sub-Committee, Management Meetings)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084A320D">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216EC94F">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1,055,000.00</w:t>
            </w:r>
          </w:p>
        </w:tc>
        <w:tc>
          <w:tcPr>
            <w:tcW w:w="1251" w:type="dxa"/>
            <w:tcBorders>
              <w:top w:val="single" w:color="auto" w:sz="4" w:space="0"/>
              <w:left w:val="single" w:color="auto" w:sz="4" w:space="0"/>
              <w:bottom w:val="single" w:color="auto" w:sz="4" w:space="0"/>
              <w:right w:val="single" w:color="auto" w:sz="4" w:space="0"/>
            </w:tcBorders>
            <w:vAlign w:val="center"/>
          </w:tcPr>
          <w:p w14:paraId="322D9219">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94A9DF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E9B51F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7A36764">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1,055,000.00</w:t>
            </w:r>
          </w:p>
        </w:tc>
        <w:tc>
          <w:tcPr>
            <w:tcW w:w="1276" w:type="dxa"/>
            <w:tcBorders>
              <w:top w:val="single" w:color="auto" w:sz="4" w:space="0"/>
              <w:left w:val="single" w:color="auto" w:sz="4" w:space="0"/>
              <w:bottom w:val="single" w:color="auto" w:sz="4" w:space="0"/>
              <w:right w:val="single" w:color="auto" w:sz="4" w:space="0"/>
            </w:tcBorders>
            <w:vAlign w:val="center"/>
          </w:tcPr>
          <w:p w14:paraId="22C21C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BD8BF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524D9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65505" cy="736600"/>
                  <wp:effectExtent l="0" t="0" r="0" b="6350"/>
                  <wp:docPr id="31" name="Picture 31" descr="C:\Users\D\OneDrive\Desktop\2026 DDDP\SUB-COM 1ST MEETING\PICS\AGRIC &amp; EN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D\OneDrive\Desktop\2026 DDDP\SUB-COM 1ST MEETING\PICS\AGRIC &amp; ENVI.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878471" cy="747277"/>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1BF2719">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D4BC9D7">
            <w:pPr>
              <w:spacing w:line="240" w:lineRule="auto"/>
              <w:jc w:val="both"/>
              <w:rPr>
                <w:rFonts w:ascii="Times New Roman" w:hAnsi="Times New Roman" w:cs="Times New Roman"/>
                <w:sz w:val="20"/>
                <w:szCs w:val="20"/>
                <w:lang w:val="en-GB" w:eastAsia="en-GB"/>
              </w:rPr>
            </w:pPr>
          </w:p>
        </w:tc>
      </w:tr>
      <w:tr w14:paraId="128C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6C54A8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9C92F3A">
            <w:pPr>
              <w:spacing w:line="240" w:lineRule="auto"/>
              <w:rPr>
                <w:rFonts w:ascii="Times New Roman" w:hAnsi="Times New Roman" w:cs="Times New Roman"/>
                <w:sz w:val="20"/>
                <w:szCs w:val="20"/>
              </w:rPr>
            </w:pPr>
            <w:r>
              <w:rPr>
                <w:rFonts w:ascii="Times New Roman" w:hAnsi="Times New Roman" w:cs="Times New Roman"/>
                <w:sz w:val="20"/>
                <w:szCs w:val="20"/>
              </w:rPr>
              <w:t>Organize DCE’s engagement in selected communities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625AC85">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4E584C19">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108,000.00</w:t>
            </w:r>
          </w:p>
        </w:tc>
        <w:tc>
          <w:tcPr>
            <w:tcW w:w="1251" w:type="dxa"/>
            <w:tcBorders>
              <w:top w:val="single" w:color="auto" w:sz="4" w:space="0"/>
              <w:left w:val="single" w:color="auto" w:sz="4" w:space="0"/>
              <w:bottom w:val="single" w:color="auto" w:sz="4" w:space="0"/>
              <w:right w:val="single" w:color="auto" w:sz="4" w:space="0"/>
            </w:tcBorders>
            <w:vAlign w:val="center"/>
          </w:tcPr>
          <w:p w14:paraId="2C6C367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E7370B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DB705E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1693878">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108,000.00</w:t>
            </w:r>
          </w:p>
        </w:tc>
        <w:tc>
          <w:tcPr>
            <w:tcW w:w="1276" w:type="dxa"/>
            <w:tcBorders>
              <w:top w:val="single" w:color="auto" w:sz="4" w:space="0"/>
              <w:left w:val="single" w:color="auto" w:sz="4" w:space="0"/>
              <w:bottom w:val="single" w:color="auto" w:sz="4" w:space="0"/>
              <w:right w:val="single" w:color="auto" w:sz="4" w:space="0"/>
            </w:tcBorders>
            <w:vAlign w:val="center"/>
          </w:tcPr>
          <w:p w14:paraId="2CA822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931C0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4B3B68A">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D6E8826">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246A069A">
            <w:pPr>
              <w:spacing w:line="240" w:lineRule="auto"/>
              <w:jc w:val="both"/>
              <w:rPr>
                <w:rFonts w:ascii="Times New Roman" w:hAnsi="Times New Roman" w:cs="Times New Roman"/>
                <w:sz w:val="20"/>
                <w:szCs w:val="20"/>
                <w:lang w:val="en-GB" w:eastAsia="en-GB"/>
              </w:rPr>
            </w:pPr>
          </w:p>
        </w:tc>
      </w:tr>
      <w:tr w14:paraId="6CA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29750C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2022920">
            <w:pPr>
              <w:spacing w:line="240" w:lineRule="auto"/>
              <w:rPr>
                <w:rFonts w:ascii="Times New Roman" w:hAnsi="Times New Roman" w:cs="Times New Roman"/>
                <w:sz w:val="20"/>
                <w:szCs w:val="20"/>
              </w:rPr>
            </w:pPr>
            <w:r>
              <w:rPr>
                <w:rFonts w:ascii="Times New Roman" w:hAnsi="Times New Roman" w:cs="Times New Roman"/>
                <w:sz w:val="20"/>
                <w:szCs w:val="20"/>
              </w:rPr>
              <w:t>Gazette and strengthen enforcement on Assembly By-laws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7F073C3">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6E95D01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11,500.00</w:t>
            </w:r>
          </w:p>
        </w:tc>
        <w:tc>
          <w:tcPr>
            <w:tcW w:w="1251" w:type="dxa"/>
            <w:tcBorders>
              <w:top w:val="single" w:color="auto" w:sz="4" w:space="0"/>
              <w:left w:val="single" w:color="auto" w:sz="4" w:space="0"/>
              <w:bottom w:val="single" w:color="auto" w:sz="4" w:space="0"/>
              <w:right w:val="single" w:color="auto" w:sz="4" w:space="0"/>
            </w:tcBorders>
            <w:vAlign w:val="center"/>
          </w:tcPr>
          <w:p w14:paraId="045CCA71">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6CEFAA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D7211C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C212C7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11,500.00</w:t>
            </w:r>
          </w:p>
        </w:tc>
        <w:tc>
          <w:tcPr>
            <w:tcW w:w="1276" w:type="dxa"/>
            <w:tcBorders>
              <w:top w:val="single" w:color="auto" w:sz="4" w:space="0"/>
              <w:left w:val="single" w:color="auto" w:sz="4" w:space="0"/>
              <w:bottom w:val="single" w:color="auto" w:sz="4" w:space="0"/>
              <w:right w:val="single" w:color="auto" w:sz="4" w:space="0"/>
            </w:tcBorders>
            <w:vAlign w:val="center"/>
          </w:tcPr>
          <w:p w14:paraId="3FB32F4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829F8DB">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D3CD4A1">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1B613FC">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12968D0">
            <w:pPr>
              <w:spacing w:line="240" w:lineRule="auto"/>
              <w:jc w:val="both"/>
              <w:rPr>
                <w:rFonts w:ascii="Times New Roman" w:hAnsi="Times New Roman" w:cs="Times New Roman"/>
                <w:sz w:val="20"/>
                <w:szCs w:val="20"/>
                <w:lang w:val="en-GB" w:eastAsia="en-GB"/>
              </w:rPr>
            </w:pPr>
          </w:p>
        </w:tc>
      </w:tr>
      <w:tr w14:paraId="25AC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5CF74D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2C25737">
            <w:pPr>
              <w:spacing w:line="240" w:lineRule="auto"/>
              <w:rPr>
                <w:rFonts w:ascii="Times New Roman" w:hAnsi="Times New Roman" w:cs="Times New Roman"/>
                <w:sz w:val="20"/>
                <w:szCs w:val="20"/>
              </w:rPr>
            </w:pPr>
            <w:r>
              <w:rPr>
                <w:rFonts w:ascii="Times New Roman" w:hAnsi="Times New Roman" w:cs="Times New Roman"/>
                <w:sz w:val="20"/>
                <w:szCs w:val="20"/>
              </w:rPr>
              <w:t>Support NALAG activities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4989D2A">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2DD2395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71,831.64</w:t>
            </w:r>
          </w:p>
        </w:tc>
        <w:tc>
          <w:tcPr>
            <w:tcW w:w="1251" w:type="dxa"/>
            <w:tcBorders>
              <w:top w:val="single" w:color="auto" w:sz="4" w:space="0"/>
              <w:left w:val="single" w:color="auto" w:sz="4" w:space="0"/>
              <w:bottom w:val="single" w:color="auto" w:sz="4" w:space="0"/>
              <w:right w:val="single" w:color="auto" w:sz="4" w:space="0"/>
            </w:tcBorders>
            <w:vAlign w:val="center"/>
          </w:tcPr>
          <w:p w14:paraId="74EE735A">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7ACC3F1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89DA89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359116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71,831.64</w:t>
            </w:r>
          </w:p>
        </w:tc>
        <w:tc>
          <w:tcPr>
            <w:tcW w:w="1276" w:type="dxa"/>
            <w:tcBorders>
              <w:top w:val="single" w:color="auto" w:sz="4" w:space="0"/>
              <w:left w:val="single" w:color="auto" w:sz="4" w:space="0"/>
              <w:bottom w:val="single" w:color="auto" w:sz="4" w:space="0"/>
              <w:right w:val="single" w:color="auto" w:sz="4" w:space="0"/>
            </w:tcBorders>
            <w:vAlign w:val="center"/>
          </w:tcPr>
          <w:p w14:paraId="2AFD7BE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98629F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B04267F">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39459A19">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E358141">
            <w:pPr>
              <w:spacing w:line="240" w:lineRule="auto"/>
              <w:jc w:val="both"/>
              <w:rPr>
                <w:rFonts w:ascii="Times New Roman" w:hAnsi="Times New Roman" w:cs="Times New Roman"/>
                <w:sz w:val="20"/>
                <w:szCs w:val="20"/>
                <w:lang w:val="en-GB" w:eastAsia="en-GB"/>
              </w:rPr>
            </w:pPr>
          </w:p>
        </w:tc>
      </w:tr>
      <w:tr w14:paraId="502B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607804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8D0E80D">
            <w:pPr>
              <w:spacing w:before="100" w:beforeAutospacing="1" w:line="240" w:lineRule="auto"/>
              <w:jc w:val="both"/>
              <w:rPr>
                <w:rFonts w:ascii="Times New Roman" w:hAnsi="Times New Roman" w:cs="Times New Roman"/>
                <w:bCs/>
                <w:sz w:val="20"/>
                <w:szCs w:val="20"/>
              </w:rPr>
            </w:pPr>
            <w:r>
              <w:rPr>
                <w:rFonts w:ascii="Times New Roman" w:hAnsi="Times New Roman" w:cs="Times New Roman"/>
                <w:bCs/>
                <w:sz w:val="20"/>
                <w:szCs w:val="20"/>
              </w:rPr>
              <w:t>Organise 40 No Area Council activities in the 4 Area Councils</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16326C6">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23D32A8F">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40,192.68</w:t>
            </w:r>
          </w:p>
        </w:tc>
        <w:tc>
          <w:tcPr>
            <w:tcW w:w="1251" w:type="dxa"/>
            <w:tcBorders>
              <w:top w:val="single" w:color="auto" w:sz="4" w:space="0"/>
              <w:left w:val="single" w:color="auto" w:sz="4" w:space="0"/>
              <w:bottom w:val="single" w:color="auto" w:sz="4" w:space="0"/>
              <w:right w:val="single" w:color="auto" w:sz="4" w:space="0"/>
            </w:tcBorders>
            <w:vAlign w:val="center"/>
          </w:tcPr>
          <w:p w14:paraId="7714855D">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94D43A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42A770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C242073">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40,192.68</w:t>
            </w:r>
          </w:p>
        </w:tc>
        <w:tc>
          <w:tcPr>
            <w:tcW w:w="1276" w:type="dxa"/>
            <w:tcBorders>
              <w:top w:val="single" w:color="auto" w:sz="4" w:space="0"/>
              <w:left w:val="single" w:color="auto" w:sz="4" w:space="0"/>
              <w:bottom w:val="single" w:color="auto" w:sz="4" w:space="0"/>
              <w:right w:val="single" w:color="auto" w:sz="4" w:space="0"/>
            </w:tcBorders>
            <w:vAlign w:val="center"/>
          </w:tcPr>
          <w:p w14:paraId="10FDD9B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596C1C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3960B1A">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1E34A350">
            <w:pPr>
              <w:spacing w:line="240" w:lineRule="auto"/>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6469F6BF">
            <w:pPr>
              <w:spacing w:line="240" w:lineRule="auto"/>
              <w:jc w:val="both"/>
              <w:rPr>
                <w:rFonts w:ascii="Times New Roman" w:hAnsi="Times New Roman" w:cs="Times New Roman"/>
                <w:sz w:val="20"/>
                <w:szCs w:val="20"/>
                <w:lang w:val="en-GB" w:eastAsia="en-GB"/>
              </w:rPr>
            </w:pPr>
          </w:p>
        </w:tc>
      </w:tr>
      <w:tr w14:paraId="69A9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0B8320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5642A74">
            <w:pPr>
              <w:spacing w:line="240" w:lineRule="auto"/>
              <w:rPr>
                <w:rFonts w:ascii="Times New Roman" w:hAnsi="Times New Roman" w:cs="Times New Roman"/>
                <w:sz w:val="20"/>
                <w:szCs w:val="20"/>
              </w:rPr>
            </w:pPr>
            <w:r>
              <w:rPr>
                <w:rFonts w:ascii="Times New Roman" w:hAnsi="Times New Roman" w:cs="Times New Roman"/>
                <w:sz w:val="20"/>
                <w:szCs w:val="20"/>
              </w:rPr>
              <w:t xml:space="preserve">Strengthen Sub District Structures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1EBDA445">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6C53B5E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106,684.65</w:t>
            </w:r>
          </w:p>
        </w:tc>
        <w:tc>
          <w:tcPr>
            <w:tcW w:w="1251" w:type="dxa"/>
            <w:tcBorders>
              <w:top w:val="single" w:color="auto" w:sz="4" w:space="0"/>
              <w:left w:val="single" w:color="auto" w:sz="4" w:space="0"/>
              <w:bottom w:val="single" w:color="auto" w:sz="4" w:space="0"/>
              <w:right w:val="single" w:color="auto" w:sz="4" w:space="0"/>
            </w:tcBorders>
            <w:vAlign w:val="center"/>
          </w:tcPr>
          <w:p w14:paraId="6276E3D1">
            <w:pPr>
              <w:spacing w:line="240" w:lineRule="auto"/>
              <w:jc w:val="center"/>
              <w:rPr>
                <w:rFonts w:ascii="Times New Roman" w:hAnsi="Times New Roman" w:cs="Times New Roman"/>
                <w:sz w:val="20"/>
                <w:szCs w:val="20"/>
              </w:rPr>
            </w:pPr>
            <w:r>
              <w:rPr>
                <w:rFonts w:ascii="Times New Roman" w:hAnsi="Times New Roman" w:cs="Times New Roman"/>
                <w:sz w:val="20"/>
                <w:szCs w:val="20"/>
              </w:rPr>
              <w:t>IGF/DACF</w:t>
            </w:r>
          </w:p>
        </w:tc>
        <w:tc>
          <w:tcPr>
            <w:tcW w:w="992" w:type="dxa"/>
            <w:tcBorders>
              <w:top w:val="single" w:color="auto" w:sz="4" w:space="0"/>
              <w:left w:val="single" w:color="auto" w:sz="4" w:space="0"/>
              <w:bottom w:val="single" w:color="auto" w:sz="4" w:space="0"/>
              <w:right w:val="single" w:color="auto" w:sz="4" w:space="0"/>
            </w:tcBorders>
            <w:vAlign w:val="center"/>
          </w:tcPr>
          <w:p w14:paraId="060EB50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D446B5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4D5FA1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106,684.65</w:t>
            </w:r>
          </w:p>
        </w:tc>
        <w:tc>
          <w:tcPr>
            <w:tcW w:w="1276" w:type="dxa"/>
            <w:tcBorders>
              <w:top w:val="single" w:color="auto" w:sz="4" w:space="0"/>
              <w:left w:val="single" w:color="auto" w:sz="4" w:space="0"/>
              <w:bottom w:val="single" w:color="auto" w:sz="4" w:space="0"/>
              <w:right w:val="single" w:color="auto" w:sz="4" w:space="0"/>
            </w:tcBorders>
            <w:vAlign w:val="center"/>
          </w:tcPr>
          <w:p w14:paraId="5FE7FAF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194329E">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D66C386">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3A67A347">
            <w:pPr>
              <w:spacing w:line="240" w:lineRule="auto"/>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34EFAC17">
            <w:pPr>
              <w:spacing w:line="240" w:lineRule="auto"/>
              <w:jc w:val="both"/>
              <w:rPr>
                <w:rFonts w:ascii="Times New Roman" w:hAnsi="Times New Roman" w:cs="Times New Roman"/>
                <w:sz w:val="20"/>
                <w:szCs w:val="20"/>
                <w:lang w:val="en-GB" w:eastAsia="en-GB"/>
              </w:rPr>
            </w:pPr>
          </w:p>
        </w:tc>
      </w:tr>
      <w:tr w14:paraId="0912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1E7D28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5849BA7">
            <w:pPr>
              <w:spacing w:line="240" w:lineRule="auto"/>
              <w:rPr>
                <w:rFonts w:ascii="Times New Roman" w:hAnsi="Times New Roman" w:cs="Times New Roman"/>
                <w:sz w:val="20"/>
                <w:szCs w:val="20"/>
              </w:rPr>
            </w:pPr>
            <w:r>
              <w:rPr>
                <w:rFonts w:ascii="Times New Roman" w:hAnsi="Times New Roman" w:cs="Times New Roman"/>
                <w:sz w:val="20"/>
                <w:szCs w:val="20"/>
              </w:rPr>
              <w:t>Recruit and train revenue collectors at the Area Council level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B540CE3">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127F5BA6">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51" w:type="dxa"/>
            <w:tcBorders>
              <w:top w:val="single" w:color="auto" w:sz="4" w:space="0"/>
              <w:left w:val="single" w:color="auto" w:sz="4" w:space="0"/>
              <w:bottom w:val="single" w:color="auto" w:sz="4" w:space="0"/>
              <w:right w:val="single" w:color="auto" w:sz="4" w:space="0"/>
            </w:tcBorders>
            <w:vAlign w:val="center"/>
          </w:tcPr>
          <w:p w14:paraId="3AEBBA75">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05CFB7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A27B95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0FEA995">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w:t>
            </w:r>
          </w:p>
        </w:tc>
        <w:tc>
          <w:tcPr>
            <w:tcW w:w="1276" w:type="dxa"/>
            <w:tcBorders>
              <w:top w:val="single" w:color="auto" w:sz="4" w:space="0"/>
              <w:left w:val="single" w:color="auto" w:sz="4" w:space="0"/>
              <w:bottom w:val="single" w:color="auto" w:sz="4" w:space="0"/>
              <w:right w:val="single" w:color="auto" w:sz="4" w:space="0"/>
            </w:tcBorders>
            <w:vAlign w:val="center"/>
          </w:tcPr>
          <w:p w14:paraId="34BC92F6">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15EA9CB">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7A49857">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30751D9E">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7FE1257">
            <w:pPr>
              <w:spacing w:line="240" w:lineRule="auto"/>
              <w:jc w:val="both"/>
              <w:rPr>
                <w:rFonts w:ascii="Times New Roman" w:hAnsi="Times New Roman" w:cs="Times New Roman"/>
                <w:sz w:val="20"/>
                <w:szCs w:val="20"/>
                <w:lang w:val="en-GB" w:eastAsia="en-GB"/>
              </w:rPr>
            </w:pPr>
          </w:p>
        </w:tc>
      </w:tr>
      <w:tr w14:paraId="6572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1C82EAB6">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NCCE</w:t>
            </w:r>
          </w:p>
        </w:tc>
      </w:tr>
      <w:tr w14:paraId="5607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6FFA9D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9231ADC">
            <w:pPr>
              <w:spacing w:line="240" w:lineRule="auto"/>
              <w:rPr>
                <w:rFonts w:ascii="Times New Roman" w:hAnsi="Times New Roman" w:cs="Times New Roman"/>
                <w:sz w:val="20"/>
                <w:szCs w:val="20"/>
              </w:rPr>
            </w:pPr>
            <w:r>
              <w:rPr>
                <w:rFonts w:ascii="Times New Roman" w:hAnsi="Times New Roman" w:cs="Times New Roman"/>
                <w:sz w:val="20"/>
                <w:szCs w:val="20"/>
              </w:rPr>
              <w:t>Sensitization on laws against tax evasion and non-compliance in support of revenue mobilization</w:t>
            </w:r>
          </w:p>
        </w:tc>
        <w:tc>
          <w:tcPr>
            <w:tcW w:w="1420" w:type="dxa"/>
            <w:tcBorders>
              <w:top w:val="single" w:color="auto" w:sz="4" w:space="0"/>
              <w:left w:val="single" w:color="auto" w:sz="4" w:space="0"/>
              <w:bottom w:val="single" w:color="auto" w:sz="4" w:space="0"/>
              <w:right w:val="single" w:color="auto" w:sz="4" w:space="0"/>
            </w:tcBorders>
            <w:vAlign w:val="center"/>
          </w:tcPr>
          <w:p w14:paraId="72CA3286">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52013F4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8,000.00</w:t>
            </w:r>
          </w:p>
        </w:tc>
        <w:tc>
          <w:tcPr>
            <w:tcW w:w="1251" w:type="dxa"/>
            <w:tcBorders>
              <w:top w:val="single" w:color="auto" w:sz="4" w:space="0"/>
              <w:left w:val="single" w:color="auto" w:sz="4" w:space="0"/>
              <w:bottom w:val="single" w:color="auto" w:sz="4" w:space="0"/>
              <w:right w:val="single" w:color="auto" w:sz="4" w:space="0"/>
            </w:tcBorders>
            <w:vAlign w:val="center"/>
          </w:tcPr>
          <w:p w14:paraId="14E49521">
            <w:pPr>
              <w:spacing w:line="240" w:lineRule="auto"/>
              <w:jc w:val="center"/>
              <w:rPr>
                <w:rFonts w:ascii="Times New Roman" w:hAnsi="Times New Roman" w:cs="Times New Roman"/>
                <w:sz w:val="20"/>
                <w:szCs w:val="20"/>
              </w:rPr>
            </w:pPr>
            <w:r>
              <w:rPr>
                <w:rFonts w:ascii="Times New Roman" w:hAnsi="Times New Roman" w:cs="Times New Roman"/>
                <w:sz w:val="20"/>
                <w:szCs w:val="20"/>
              </w:rPr>
              <w:t>IGF/DACF</w:t>
            </w:r>
          </w:p>
        </w:tc>
        <w:tc>
          <w:tcPr>
            <w:tcW w:w="992" w:type="dxa"/>
            <w:tcBorders>
              <w:top w:val="single" w:color="auto" w:sz="4" w:space="0"/>
              <w:left w:val="single" w:color="auto" w:sz="4" w:space="0"/>
              <w:bottom w:val="single" w:color="auto" w:sz="4" w:space="0"/>
              <w:right w:val="single" w:color="auto" w:sz="4" w:space="0"/>
            </w:tcBorders>
            <w:vAlign w:val="center"/>
          </w:tcPr>
          <w:p w14:paraId="2039D7C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617970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209C80D">
            <w:pPr>
              <w:spacing w:line="240" w:lineRule="auto"/>
              <w:jc w:val="center"/>
              <w:rPr>
                <w:rFonts w:ascii="Times New Roman" w:hAnsi="Times New Roman" w:cs="Times New Roman"/>
                <w:sz w:val="20"/>
                <w:szCs w:val="20"/>
              </w:rPr>
            </w:pPr>
            <w:r>
              <w:rPr>
                <w:rFonts w:ascii="Times New Roman" w:hAnsi="Times New Roman" w:cs="Times New Roman"/>
                <w:sz w:val="20"/>
                <w:szCs w:val="20"/>
              </w:rPr>
              <w:t>8,000.00</w:t>
            </w:r>
          </w:p>
        </w:tc>
        <w:tc>
          <w:tcPr>
            <w:tcW w:w="1276" w:type="dxa"/>
            <w:tcBorders>
              <w:top w:val="single" w:color="auto" w:sz="4" w:space="0"/>
              <w:left w:val="single" w:color="auto" w:sz="4" w:space="0"/>
              <w:bottom w:val="single" w:color="auto" w:sz="4" w:space="0"/>
              <w:right w:val="single" w:color="auto" w:sz="4" w:space="0"/>
            </w:tcBorders>
            <w:vAlign w:val="center"/>
          </w:tcPr>
          <w:p w14:paraId="3C4C72C4">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BDB8D1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0C07490">
            <w:pPr>
              <w:spacing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89000" cy="736600"/>
                  <wp:effectExtent l="0" t="0" r="6350" b="635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27860" cy="768798"/>
                          </a:xfrm>
                          <a:prstGeom prst="rect">
                            <a:avLst/>
                          </a:prstGeom>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2447D8C">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8913767">
            <w:pPr>
              <w:spacing w:line="240" w:lineRule="auto"/>
              <w:jc w:val="both"/>
              <w:rPr>
                <w:rFonts w:ascii="Times New Roman" w:hAnsi="Times New Roman" w:cs="Times New Roman"/>
                <w:sz w:val="20"/>
                <w:szCs w:val="20"/>
                <w:lang w:val="en-GB" w:eastAsia="en-GB"/>
              </w:rPr>
            </w:pPr>
          </w:p>
        </w:tc>
      </w:tr>
      <w:tr w14:paraId="117F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2DD669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2B5F711">
            <w:pPr>
              <w:spacing w:line="240" w:lineRule="auto"/>
              <w:rPr>
                <w:rFonts w:ascii="Times New Roman" w:hAnsi="Times New Roman" w:cs="Times New Roman"/>
                <w:sz w:val="20"/>
                <w:szCs w:val="20"/>
              </w:rPr>
            </w:pPr>
            <w:r>
              <w:rPr>
                <w:rFonts w:ascii="Times New Roman" w:hAnsi="Times New Roman" w:cs="Times New Roman"/>
                <w:sz w:val="20"/>
                <w:szCs w:val="20"/>
              </w:rPr>
              <w:t>Sensitization on Child Protection: Cyber-Bullying</w:t>
            </w:r>
          </w:p>
        </w:tc>
        <w:tc>
          <w:tcPr>
            <w:tcW w:w="1420" w:type="dxa"/>
            <w:tcBorders>
              <w:top w:val="single" w:color="auto" w:sz="4" w:space="0"/>
              <w:left w:val="single" w:color="auto" w:sz="4" w:space="0"/>
              <w:bottom w:val="single" w:color="auto" w:sz="4" w:space="0"/>
              <w:right w:val="single" w:color="auto" w:sz="4" w:space="0"/>
            </w:tcBorders>
            <w:vAlign w:val="center"/>
          </w:tcPr>
          <w:p w14:paraId="09D407D8">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263D9395">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235371C1">
            <w:pPr>
              <w:spacing w:line="240" w:lineRule="auto"/>
              <w:jc w:val="center"/>
              <w:rPr>
                <w:rFonts w:ascii="Times New Roman" w:hAnsi="Times New Roman" w:cs="Times New Roman"/>
                <w:sz w:val="20"/>
                <w:szCs w:val="20"/>
              </w:rPr>
            </w:pPr>
            <w:r>
              <w:rPr>
                <w:rFonts w:ascii="Times New Roman" w:hAnsi="Times New Roman" w:cs="Times New Roman"/>
                <w:sz w:val="20"/>
                <w:szCs w:val="20"/>
              </w:rPr>
              <w:t>IGF/DACF</w:t>
            </w:r>
          </w:p>
        </w:tc>
        <w:tc>
          <w:tcPr>
            <w:tcW w:w="992" w:type="dxa"/>
            <w:tcBorders>
              <w:top w:val="single" w:color="auto" w:sz="4" w:space="0"/>
              <w:left w:val="single" w:color="auto" w:sz="4" w:space="0"/>
              <w:bottom w:val="single" w:color="auto" w:sz="4" w:space="0"/>
              <w:right w:val="single" w:color="auto" w:sz="4" w:space="0"/>
            </w:tcBorders>
            <w:vAlign w:val="center"/>
          </w:tcPr>
          <w:p w14:paraId="533FBC8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F3132F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D7DA525">
            <w:pPr>
              <w:spacing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48354DBD">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FF42892">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4C54BDF">
            <w:pPr>
              <w:spacing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50900" cy="660400"/>
                  <wp:effectExtent l="0" t="0" r="6350" b="635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67627" cy="673382"/>
                          </a:xfrm>
                          <a:prstGeom prst="rect">
                            <a:avLst/>
                          </a:prstGeom>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FFC73E3">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2F6CF6A">
            <w:pPr>
              <w:spacing w:line="240" w:lineRule="auto"/>
              <w:jc w:val="both"/>
              <w:rPr>
                <w:rFonts w:ascii="Times New Roman" w:hAnsi="Times New Roman" w:cs="Times New Roman"/>
                <w:sz w:val="20"/>
                <w:szCs w:val="20"/>
                <w:lang w:val="en-GB" w:eastAsia="en-GB"/>
              </w:rPr>
            </w:pPr>
          </w:p>
        </w:tc>
      </w:tr>
      <w:tr w14:paraId="5BFB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350438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93BE1F7">
            <w:pPr>
              <w:spacing w:line="240" w:lineRule="auto"/>
              <w:rPr>
                <w:rFonts w:ascii="Times New Roman" w:hAnsi="Times New Roman" w:cs="Times New Roman"/>
                <w:sz w:val="20"/>
                <w:szCs w:val="20"/>
              </w:rPr>
            </w:pPr>
            <w:r>
              <w:rPr>
                <w:rFonts w:ascii="Times New Roman" w:hAnsi="Times New Roman" w:eastAsia="Calibri" w:cs="Times New Roman"/>
                <w:sz w:val="20"/>
                <w:szCs w:val="20"/>
              </w:rPr>
              <w:t>Public awareness on Good Environment and Sanitation Practices</w:t>
            </w:r>
          </w:p>
        </w:tc>
        <w:tc>
          <w:tcPr>
            <w:tcW w:w="1420" w:type="dxa"/>
            <w:tcBorders>
              <w:top w:val="single" w:color="auto" w:sz="4" w:space="0"/>
              <w:left w:val="single" w:color="auto" w:sz="4" w:space="0"/>
              <w:bottom w:val="single" w:color="auto" w:sz="4" w:space="0"/>
              <w:right w:val="single" w:color="auto" w:sz="4" w:space="0"/>
            </w:tcBorders>
            <w:vAlign w:val="center"/>
          </w:tcPr>
          <w:p w14:paraId="3958C308">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1D3EDEE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9,000.00</w:t>
            </w:r>
          </w:p>
        </w:tc>
        <w:tc>
          <w:tcPr>
            <w:tcW w:w="1251" w:type="dxa"/>
            <w:tcBorders>
              <w:top w:val="single" w:color="auto" w:sz="4" w:space="0"/>
              <w:left w:val="single" w:color="auto" w:sz="4" w:space="0"/>
              <w:bottom w:val="single" w:color="auto" w:sz="4" w:space="0"/>
              <w:right w:val="single" w:color="auto" w:sz="4" w:space="0"/>
            </w:tcBorders>
            <w:vAlign w:val="center"/>
          </w:tcPr>
          <w:p w14:paraId="0FF91078">
            <w:pPr>
              <w:spacing w:line="240" w:lineRule="auto"/>
              <w:jc w:val="center"/>
              <w:rPr>
                <w:rFonts w:ascii="Times New Roman" w:hAnsi="Times New Roman" w:cs="Times New Roman"/>
                <w:sz w:val="20"/>
                <w:szCs w:val="20"/>
              </w:rPr>
            </w:pPr>
            <w:r>
              <w:rPr>
                <w:rFonts w:ascii="Times New Roman" w:hAnsi="Times New Roman" w:cs="Times New Roman"/>
                <w:sz w:val="20"/>
                <w:szCs w:val="20"/>
              </w:rPr>
              <w:t>IGF/DACF</w:t>
            </w:r>
          </w:p>
        </w:tc>
        <w:tc>
          <w:tcPr>
            <w:tcW w:w="992" w:type="dxa"/>
            <w:tcBorders>
              <w:top w:val="single" w:color="auto" w:sz="4" w:space="0"/>
              <w:left w:val="single" w:color="auto" w:sz="4" w:space="0"/>
              <w:bottom w:val="single" w:color="auto" w:sz="4" w:space="0"/>
              <w:right w:val="single" w:color="auto" w:sz="4" w:space="0"/>
            </w:tcBorders>
            <w:vAlign w:val="center"/>
          </w:tcPr>
          <w:p w14:paraId="60F97DF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E61892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ED767A5">
            <w:pPr>
              <w:spacing w:line="240" w:lineRule="auto"/>
              <w:jc w:val="center"/>
              <w:rPr>
                <w:rFonts w:ascii="Times New Roman" w:hAnsi="Times New Roman" w:cs="Times New Roman"/>
                <w:sz w:val="20"/>
                <w:szCs w:val="20"/>
              </w:rPr>
            </w:pPr>
            <w:r>
              <w:rPr>
                <w:rFonts w:ascii="Times New Roman" w:hAnsi="Times New Roman" w:cs="Times New Roman"/>
                <w:sz w:val="20"/>
                <w:szCs w:val="20"/>
              </w:rPr>
              <w:t>9,000.00</w:t>
            </w:r>
          </w:p>
        </w:tc>
        <w:tc>
          <w:tcPr>
            <w:tcW w:w="1276" w:type="dxa"/>
            <w:tcBorders>
              <w:top w:val="single" w:color="auto" w:sz="4" w:space="0"/>
              <w:left w:val="single" w:color="auto" w:sz="4" w:space="0"/>
              <w:bottom w:val="single" w:color="auto" w:sz="4" w:space="0"/>
              <w:right w:val="single" w:color="auto" w:sz="4" w:space="0"/>
            </w:tcBorders>
            <w:vAlign w:val="center"/>
          </w:tcPr>
          <w:p w14:paraId="08B013EA">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5F8ABDB">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FE5E513">
            <w:pPr>
              <w:spacing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901700" cy="68580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27785" cy="705639"/>
                          </a:xfrm>
                          <a:prstGeom prst="rect">
                            <a:avLst/>
                          </a:prstGeom>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191CEB1">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51B30609">
            <w:pPr>
              <w:spacing w:line="240" w:lineRule="auto"/>
              <w:jc w:val="both"/>
              <w:rPr>
                <w:rFonts w:ascii="Times New Roman" w:hAnsi="Times New Roman" w:cs="Times New Roman"/>
                <w:sz w:val="20"/>
                <w:szCs w:val="20"/>
                <w:lang w:val="en-GB" w:eastAsia="en-GB"/>
              </w:rPr>
            </w:pPr>
          </w:p>
        </w:tc>
      </w:tr>
      <w:tr w14:paraId="7CFC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56C920CC">
            <w:pPr>
              <w:spacing w:line="240" w:lineRule="auto"/>
              <w:jc w:val="center"/>
              <w:rPr>
                <w:rFonts w:ascii="Times New Roman" w:hAnsi="Times New Roman" w:cs="Times New Roman"/>
                <w:b/>
                <w:sz w:val="20"/>
                <w:szCs w:val="20"/>
                <w:lang w:eastAsia="en-GB"/>
              </w:rPr>
            </w:pPr>
            <w:r>
              <w:rPr>
                <w:rFonts w:ascii="Times New Roman" w:hAnsi="Times New Roman" w:cs="Times New Roman"/>
                <w:b/>
                <w:sz w:val="20"/>
                <w:szCs w:val="20"/>
                <w:lang w:eastAsia="en-GB"/>
              </w:rPr>
              <w:t>CHRAJ</w:t>
            </w:r>
          </w:p>
        </w:tc>
      </w:tr>
      <w:tr w14:paraId="22D3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DA52C7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4A7A991">
            <w:pPr>
              <w:spacing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forty (40) public education in schools, churches and other communities by the end of 2026</w:t>
            </w:r>
          </w:p>
        </w:tc>
        <w:tc>
          <w:tcPr>
            <w:tcW w:w="1420" w:type="dxa"/>
            <w:tcBorders>
              <w:top w:val="single" w:color="auto" w:sz="4" w:space="0"/>
              <w:left w:val="single" w:color="auto" w:sz="4" w:space="0"/>
              <w:bottom w:val="single" w:color="auto" w:sz="4" w:space="0"/>
              <w:right w:val="single" w:color="auto" w:sz="4" w:space="0"/>
            </w:tcBorders>
            <w:vAlign w:val="center"/>
          </w:tcPr>
          <w:p w14:paraId="5F2125DF">
            <w:pPr>
              <w:spacing w:before="100" w:beforeAutospacing="1" w:line="240" w:lineRule="auto"/>
              <w:rPr>
                <w:rFonts w:ascii="Times New Roman" w:hAnsi="Times New Roman" w:eastAsia="Calibri"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15B6C22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5,600.00</w:t>
            </w:r>
          </w:p>
        </w:tc>
        <w:tc>
          <w:tcPr>
            <w:tcW w:w="1251" w:type="dxa"/>
            <w:tcBorders>
              <w:top w:val="single" w:color="auto" w:sz="4" w:space="0"/>
              <w:left w:val="single" w:color="auto" w:sz="4" w:space="0"/>
              <w:bottom w:val="single" w:color="auto" w:sz="4" w:space="0"/>
              <w:right w:val="single" w:color="auto" w:sz="4" w:space="0"/>
            </w:tcBorders>
            <w:vAlign w:val="center"/>
          </w:tcPr>
          <w:p w14:paraId="1F42A8A9">
            <w:pPr>
              <w:spacing w:line="240" w:lineRule="auto"/>
              <w:jc w:val="center"/>
              <w:rPr>
                <w:rFonts w:ascii="Times New Roman" w:hAnsi="Times New Roman" w:cs="Times New Roman"/>
                <w:sz w:val="20"/>
                <w:szCs w:val="20"/>
              </w:rPr>
            </w:pPr>
            <w:r>
              <w:rPr>
                <w:rFonts w:ascii="Times New Roman" w:hAnsi="Times New Roman" w:cs="Times New Roman"/>
                <w:sz w:val="20"/>
                <w:szCs w:val="20"/>
              </w:rPr>
              <w:t>IGF/DACF</w:t>
            </w:r>
          </w:p>
        </w:tc>
        <w:tc>
          <w:tcPr>
            <w:tcW w:w="992" w:type="dxa"/>
            <w:tcBorders>
              <w:top w:val="single" w:color="auto" w:sz="4" w:space="0"/>
              <w:left w:val="single" w:color="auto" w:sz="4" w:space="0"/>
              <w:bottom w:val="single" w:color="auto" w:sz="4" w:space="0"/>
              <w:right w:val="single" w:color="auto" w:sz="4" w:space="0"/>
            </w:tcBorders>
            <w:vAlign w:val="center"/>
          </w:tcPr>
          <w:p w14:paraId="5B4D1D1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8627A1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4F3743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1,900.00</w:t>
            </w:r>
          </w:p>
        </w:tc>
        <w:tc>
          <w:tcPr>
            <w:tcW w:w="1276" w:type="dxa"/>
            <w:tcBorders>
              <w:top w:val="single" w:color="auto" w:sz="4" w:space="0"/>
              <w:left w:val="single" w:color="auto" w:sz="4" w:space="0"/>
              <w:bottom w:val="single" w:color="auto" w:sz="4" w:space="0"/>
              <w:right w:val="single" w:color="auto" w:sz="4" w:space="0"/>
            </w:tcBorders>
            <w:vAlign w:val="center"/>
          </w:tcPr>
          <w:p w14:paraId="7ABD44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1,500.00</w:t>
            </w:r>
          </w:p>
        </w:tc>
        <w:tc>
          <w:tcPr>
            <w:tcW w:w="757" w:type="dxa"/>
            <w:tcBorders>
              <w:top w:val="single" w:color="auto" w:sz="4" w:space="0"/>
              <w:left w:val="single" w:color="auto" w:sz="4" w:space="0"/>
              <w:bottom w:val="single" w:color="auto" w:sz="4" w:space="0"/>
              <w:right w:val="single" w:color="auto" w:sz="4" w:space="0"/>
            </w:tcBorders>
            <w:vAlign w:val="center"/>
          </w:tcPr>
          <w:p w14:paraId="49F903D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711625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939800" cy="704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951677" cy="713759"/>
                          </a:xfrm>
                          <a:prstGeom prst="rect">
                            <a:avLst/>
                          </a:prstGeom>
                          <a:noFill/>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9B329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6941F7FA">
            <w:pPr>
              <w:spacing w:line="240" w:lineRule="auto"/>
              <w:jc w:val="both"/>
              <w:rPr>
                <w:rFonts w:ascii="Times New Roman" w:hAnsi="Times New Roman" w:cs="Times New Roman"/>
                <w:sz w:val="20"/>
                <w:szCs w:val="20"/>
                <w:lang w:val="en-GB" w:eastAsia="en-GB"/>
              </w:rPr>
            </w:pPr>
          </w:p>
        </w:tc>
      </w:tr>
      <w:tr w14:paraId="008C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192D7922">
            <w:pPr>
              <w:spacing w:line="240" w:lineRule="auto"/>
              <w:jc w:val="center"/>
              <w:rPr>
                <w:rFonts w:ascii="Times New Roman" w:hAnsi="Times New Roman" w:cs="Times New Roman"/>
                <w:b/>
                <w:sz w:val="20"/>
                <w:szCs w:val="20"/>
                <w:lang w:eastAsia="en-GB"/>
              </w:rPr>
            </w:pPr>
            <w:r>
              <w:rPr>
                <w:rFonts w:ascii="Times New Roman" w:hAnsi="Times New Roman" w:cs="Times New Roman"/>
                <w:b/>
                <w:sz w:val="20"/>
                <w:szCs w:val="20"/>
                <w:lang w:eastAsia="en-GB"/>
              </w:rPr>
              <w:t>INTERNAL AUDIT</w:t>
            </w:r>
          </w:p>
        </w:tc>
      </w:tr>
      <w:tr w14:paraId="6EBE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4AB813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289212E">
            <w:pPr>
              <w:spacing w:before="100" w:beforeAutospacing="1" w:line="240" w:lineRule="auto"/>
              <w:rPr>
                <w:rFonts w:ascii="Times New Roman" w:hAnsi="Times New Roman" w:eastAsia="Calibri" w:cs="Times New Roman"/>
                <w:sz w:val="20"/>
                <w:szCs w:val="20"/>
              </w:rPr>
            </w:pPr>
            <w:r>
              <w:rPr>
                <w:rFonts w:ascii="Times New Roman" w:hAnsi="Times New Roman" w:cs="Times New Roman"/>
                <w:sz w:val="20"/>
                <w:szCs w:val="20"/>
              </w:rPr>
              <w:t>Organize Public education to promote District Accountability and PFM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1CAACE7">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6757EB2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32E609F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E1A3DA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FBBE41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62B326F">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323A968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CACA5F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66792B3">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5E73D00A">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C0108DF">
            <w:pPr>
              <w:spacing w:line="240" w:lineRule="auto"/>
              <w:jc w:val="both"/>
              <w:rPr>
                <w:rFonts w:ascii="Times New Roman" w:hAnsi="Times New Roman" w:cs="Times New Roman"/>
                <w:sz w:val="20"/>
                <w:szCs w:val="20"/>
                <w:lang w:val="en-GB" w:eastAsia="en-GB"/>
              </w:rPr>
            </w:pPr>
          </w:p>
        </w:tc>
      </w:tr>
      <w:tr w14:paraId="3CAE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A708212">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93A97ED">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Conduct Internal Auditing on (procurement, cash management, fixed asset management, stores management, building permit, contract/project management, monitoring and GIFMIS)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7E31917">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5E4677D2">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506FA5DB">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63A91F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FFF38B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D2F282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05246D90">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18BD76C">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12" w:type="dxa"/>
            <w:tcBorders>
              <w:top w:val="single" w:color="auto" w:sz="4" w:space="0"/>
              <w:left w:val="single" w:color="auto" w:sz="4" w:space="0"/>
              <w:bottom w:val="single" w:color="auto" w:sz="4" w:space="0"/>
              <w:right w:val="single" w:color="auto" w:sz="4" w:space="0"/>
            </w:tcBorders>
            <w:vAlign w:val="center"/>
          </w:tcPr>
          <w:p w14:paraId="4CD42738">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1F17926">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27C14634">
            <w:pPr>
              <w:spacing w:line="240" w:lineRule="auto"/>
              <w:jc w:val="both"/>
              <w:rPr>
                <w:rFonts w:ascii="Times New Roman" w:hAnsi="Times New Roman" w:cs="Times New Roman"/>
                <w:sz w:val="20"/>
                <w:szCs w:val="20"/>
                <w:lang w:val="en-GB" w:eastAsia="en-GB"/>
              </w:rPr>
            </w:pPr>
          </w:p>
        </w:tc>
      </w:tr>
      <w:tr w14:paraId="796E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E4CD3B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462C0F7">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Organize 4No. quarterly audit committee meetings</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B918105">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780F8CFB">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70,000.00</w:t>
            </w:r>
          </w:p>
        </w:tc>
        <w:tc>
          <w:tcPr>
            <w:tcW w:w="1251" w:type="dxa"/>
            <w:tcBorders>
              <w:top w:val="single" w:color="auto" w:sz="4" w:space="0"/>
              <w:left w:val="single" w:color="auto" w:sz="4" w:space="0"/>
              <w:bottom w:val="single" w:color="auto" w:sz="4" w:space="0"/>
              <w:right w:val="single" w:color="auto" w:sz="4" w:space="0"/>
            </w:tcBorders>
            <w:vAlign w:val="center"/>
          </w:tcPr>
          <w:p w14:paraId="07A0762B">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1E2023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67B294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DEC79D0">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70,000.00</w:t>
            </w:r>
          </w:p>
        </w:tc>
        <w:tc>
          <w:tcPr>
            <w:tcW w:w="1276" w:type="dxa"/>
            <w:tcBorders>
              <w:top w:val="single" w:color="auto" w:sz="4" w:space="0"/>
              <w:left w:val="single" w:color="auto" w:sz="4" w:space="0"/>
              <w:bottom w:val="single" w:color="auto" w:sz="4" w:space="0"/>
              <w:right w:val="single" w:color="auto" w:sz="4" w:space="0"/>
            </w:tcBorders>
            <w:vAlign w:val="center"/>
          </w:tcPr>
          <w:p w14:paraId="740A10A7">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12DCCAE">
            <w:pPr>
              <w:spacing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212" w:type="dxa"/>
            <w:tcBorders>
              <w:top w:val="single" w:color="auto" w:sz="4" w:space="0"/>
              <w:left w:val="single" w:color="auto" w:sz="4" w:space="0"/>
              <w:bottom w:val="single" w:color="auto" w:sz="4" w:space="0"/>
              <w:right w:val="single" w:color="auto" w:sz="4" w:space="0"/>
            </w:tcBorders>
            <w:vAlign w:val="center"/>
          </w:tcPr>
          <w:p w14:paraId="15120C5A">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07083B4">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27797446">
            <w:pPr>
              <w:spacing w:line="240" w:lineRule="auto"/>
              <w:jc w:val="both"/>
              <w:rPr>
                <w:rFonts w:ascii="Times New Roman" w:hAnsi="Times New Roman" w:cs="Times New Roman"/>
                <w:sz w:val="20"/>
                <w:szCs w:val="20"/>
                <w:lang w:val="en-GB" w:eastAsia="en-GB"/>
              </w:rPr>
            </w:pPr>
          </w:p>
        </w:tc>
      </w:tr>
      <w:tr w14:paraId="2FE5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979D16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163CBD0">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Conduct monitoring and auditing of PWDs activities</w:t>
            </w:r>
            <w:r>
              <w:rPr>
                <w:rFonts w:ascii="Times New Roman" w:hAnsi="Times New Roman" w:cs="Times New Roman"/>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1C8ED184">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2E087E9C">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16EDEF5B">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10430E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8D3F1C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5EED7B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46D6C726">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8A2C8B5">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7FAA1AB">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4518F5C3">
            <w:pPr>
              <w:spacing w:line="240" w:lineRule="auto"/>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9990F1B">
            <w:pPr>
              <w:spacing w:line="240" w:lineRule="auto"/>
              <w:jc w:val="both"/>
              <w:rPr>
                <w:rFonts w:ascii="Times New Roman" w:hAnsi="Times New Roman" w:cs="Times New Roman"/>
                <w:sz w:val="20"/>
                <w:szCs w:val="20"/>
                <w:lang w:val="en-GB" w:eastAsia="en-GB"/>
              </w:rPr>
            </w:pPr>
          </w:p>
        </w:tc>
      </w:tr>
      <w:tr w14:paraId="554E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0973B2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14C571A2">
            <w:pPr>
              <w:spacing w:before="100" w:beforeAutospacing="1" w:line="240" w:lineRule="auto"/>
              <w:rPr>
                <w:rFonts w:ascii="Times New Roman" w:hAnsi="Times New Roman" w:eastAsia="Calibri" w:cs="Times New Roman"/>
                <w:sz w:val="20"/>
                <w:szCs w:val="20"/>
              </w:rPr>
            </w:pPr>
            <w:r>
              <w:rPr>
                <w:rFonts w:ascii="Times New Roman" w:hAnsi="Times New Roman" w:cs="Times New Roman"/>
                <w:sz w:val="20"/>
                <w:szCs w:val="20"/>
              </w:rPr>
              <w:t>Prepare Annual Audit Plan for 2026.</w:t>
            </w:r>
          </w:p>
        </w:tc>
        <w:tc>
          <w:tcPr>
            <w:tcW w:w="1420" w:type="dxa"/>
            <w:tcBorders>
              <w:top w:val="single" w:color="auto" w:sz="4" w:space="0"/>
              <w:left w:val="single" w:color="auto" w:sz="4" w:space="0"/>
              <w:bottom w:val="single" w:color="auto" w:sz="4" w:space="0"/>
              <w:right w:val="single" w:color="auto" w:sz="4" w:space="0"/>
            </w:tcBorders>
            <w:vAlign w:val="center"/>
          </w:tcPr>
          <w:p w14:paraId="75A5103E">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586D03CC">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69378AE3">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2D8283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98C9D1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272D7D6">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3ACF293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86C5821">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2F7DB238">
            <w:pPr>
              <w:spacing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42AEC15">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DAF9E05">
            <w:pPr>
              <w:spacing w:line="240" w:lineRule="auto"/>
              <w:jc w:val="both"/>
              <w:rPr>
                <w:rFonts w:ascii="Times New Roman" w:hAnsi="Times New Roman" w:cs="Times New Roman"/>
                <w:sz w:val="20"/>
                <w:szCs w:val="20"/>
                <w:lang w:val="en-GB" w:eastAsia="en-GB"/>
              </w:rPr>
            </w:pPr>
          </w:p>
        </w:tc>
      </w:tr>
      <w:tr w14:paraId="28D5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2EA5C723">
            <w:pPr>
              <w:spacing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PROCUREMENT</w:t>
            </w:r>
          </w:p>
        </w:tc>
      </w:tr>
      <w:tr w14:paraId="54AE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D956D8B">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8983D13">
            <w:pPr>
              <w:spacing w:line="240" w:lineRule="auto"/>
              <w:rPr>
                <w:rFonts w:ascii="Times New Roman" w:hAnsi="Times New Roman" w:cs="Times New Roman"/>
                <w:sz w:val="20"/>
                <w:szCs w:val="20"/>
              </w:rPr>
            </w:pPr>
            <w:r>
              <w:rPr>
                <w:rFonts w:ascii="Times New Roman" w:hAnsi="Times New Roman" w:cs="Times New Roman"/>
                <w:sz w:val="20"/>
                <w:szCs w:val="20"/>
              </w:rPr>
              <w:t>Procure office furniture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36BB1A1">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658A6260">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150,000.00</w:t>
            </w:r>
          </w:p>
        </w:tc>
        <w:tc>
          <w:tcPr>
            <w:tcW w:w="1251" w:type="dxa"/>
            <w:tcBorders>
              <w:top w:val="single" w:color="auto" w:sz="4" w:space="0"/>
              <w:left w:val="single" w:color="auto" w:sz="4" w:space="0"/>
              <w:bottom w:val="single" w:color="auto" w:sz="4" w:space="0"/>
              <w:right w:val="single" w:color="auto" w:sz="4" w:space="0"/>
            </w:tcBorders>
            <w:vAlign w:val="center"/>
          </w:tcPr>
          <w:p w14:paraId="08ECE481">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306E45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3A73597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63B0A7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150,000.00</w:t>
            </w:r>
          </w:p>
        </w:tc>
        <w:tc>
          <w:tcPr>
            <w:tcW w:w="1276" w:type="dxa"/>
            <w:tcBorders>
              <w:top w:val="single" w:color="auto" w:sz="4" w:space="0"/>
              <w:left w:val="single" w:color="auto" w:sz="4" w:space="0"/>
              <w:bottom w:val="single" w:color="auto" w:sz="4" w:space="0"/>
              <w:right w:val="single" w:color="auto" w:sz="4" w:space="0"/>
            </w:tcBorders>
            <w:vAlign w:val="center"/>
          </w:tcPr>
          <w:p w14:paraId="520E1DF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2A1AFA9">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FDC88B7">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A758F4E">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B075E02">
            <w:pPr>
              <w:spacing w:line="240" w:lineRule="auto"/>
              <w:jc w:val="both"/>
              <w:rPr>
                <w:rFonts w:ascii="Times New Roman" w:hAnsi="Times New Roman" w:cs="Times New Roman"/>
                <w:sz w:val="20"/>
                <w:szCs w:val="20"/>
                <w:lang w:val="en-GB" w:eastAsia="en-GB"/>
              </w:rPr>
            </w:pPr>
          </w:p>
        </w:tc>
      </w:tr>
      <w:tr w14:paraId="2749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946FBB1">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3328120">
            <w:pPr>
              <w:spacing w:line="240" w:lineRule="auto"/>
              <w:rPr>
                <w:rFonts w:ascii="Times New Roman" w:hAnsi="Times New Roman" w:cs="Times New Roman"/>
                <w:sz w:val="20"/>
                <w:szCs w:val="20"/>
              </w:rPr>
            </w:pPr>
            <w:r>
              <w:rPr>
                <w:rFonts w:ascii="Times New Roman" w:hAnsi="Times New Roman" w:cs="Times New Roman"/>
                <w:sz w:val="20"/>
                <w:szCs w:val="20"/>
              </w:rPr>
              <w:t>Procure  furniture for schools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390A1EE">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0EA12AAA">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1,853,475.13</w:t>
            </w:r>
          </w:p>
        </w:tc>
        <w:tc>
          <w:tcPr>
            <w:tcW w:w="1251" w:type="dxa"/>
            <w:tcBorders>
              <w:top w:val="single" w:color="auto" w:sz="4" w:space="0"/>
              <w:left w:val="single" w:color="auto" w:sz="4" w:space="0"/>
              <w:bottom w:val="single" w:color="auto" w:sz="4" w:space="0"/>
              <w:right w:val="single" w:color="auto" w:sz="4" w:space="0"/>
            </w:tcBorders>
            <w:vAlign w:val="center"/>
          </w:tcPr>
          <w:p w14:paraId="57EE7155">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717E9ED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1A0C3E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F890D8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1,853,475.13</w:t>
            </w:r>
          </w:p>
        </w:tc>
        <w:tc>
          <w:tcPr>
            <w:tcW w:w="1276" w:type="dxa"/>
            <w:tcBorders>
              <w:top w:val="single" w:color="auto" w:sz="4" w:space="0"/>
              <w:left w:val="single" w:color="auto" w:sz="4" w:space="0"/>
              <w:bottom w:val="single" w:color="auto" w:sz="4" w:space="0"/>
              <w:right w:val="single" w:color="auto" w:sz="4" w:space="0"/>
            </w:tcBorders>
            <w:vAlign w:val="center"/>
          </w:tcPr>
          <w:p w14:paraId="37D8B0E3">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F06BAD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039F9A3">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B2A928C">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4B44BE67">
            <w:pPr>
              <w:spacing w:line="240" w:lineRule="auto"/>
              <w:jc w:val="both"/>
              <w:rPr>
                <w:rFonts w:ascii="Times New Roman" w:hAnsi="Times New Roman" w:cs="Times New Roman"/>
                <w:sz w:val="20"/>
                <w:szCs w:val="20"/>
                <w:lang w:val="en-GB" w:eastAsia="en-GB"/>
              </w:rPr>
            </w:pPr>
          </w:p>
        </w:tc>
      </w:tr>
      <w:tr w14:paraId="4D31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552478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08F65B5">
            <w:pPr>
              <w:spacing w:line="240" w:lineRule="auto"/>
              <w:rPr>
                <w:rFonts w:ascii="Times New Roman" w:hAnsi="Times New Roman" w:cs="Times New Roman"/>
                <w:sz w:val="20"/>
                <w:szCs w:val="20"/>
              </w:rPr>
            </w:pPr>
            <w:r>
              <w:rPr>
                <w:rFonts w:ascii="Times New Roman" w:hAnsi="Times New Roman" w:cs="Times New Roman"/>
                <w:sz w:val="20"/>
                <w:szCs w:val="20"/>
              </w:rPr>
              <w:t>Procure  office supplies, consumable and materials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83D8BCD">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0C28F00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250,000.00</w:t>
            </w:r>
          </w:p>
        </w:tc>
        <w:tc>
          <w:tcPr>
            <w:tcW w:w="1251" w:type="dxa"/>
            <w:tcBorders>
              <w:top w:val="single" w:color="auto" w:sz="4" w:space="0"/>
              <w:left w:val="single" w:color="auto" w:sz="4" w:space="0"/>
              <w:bottom w:val="single" w:color="auto" w:sz="4" w:space="0"/>
              <w:right w:val="single" w:color="auto" w:sz="4" w:space="0"/>
            </w:tcBorders>
            <w:vAlign w:val="center"/>
          </w:tcPr>
          <w:p w14:paraId="198DC0A9">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E24C96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44E765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11F305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250,000.00</w:t>
            </w:r>
          </w:p>
        </w:tc>
        <w:tc>
          <w:tcPr>
            <w:tcW w:w="1276" w:type="dxa"/>
            <w:tcBorders>
              <w:top w:val="single" w:color="auto" w:sz="4" w:space="0"/>
              <w:left w:val="single" w:color="auto" w:sz="4" w:space="0"/>
              <w:bottom w:val="single" w:color="auto" w:sz="4" w:space="0"/>
              <w:right w:val="single" w:color="auto" w:sz="4" w:space="0"/>
            </w:tcBorders>
            <w:vAlign w:val="center"/>
          </w:tcPr>
          <w:p w14:paraId="448E44A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0EDC791">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12" w:type="dxa"/>
            <w:tcBorders>
              <w:top w:val="single" w:color="auto" w:sz="4" w:space="0"/>
              <w:left w:val="single" w:color="auto" w:sz="4" w:space="0"/>
              <w:bottom w:val="single" w:color="auto" w:sz="4" w:space="0"/>
              <w:right w:val="single" w:color="auto" w:sz="4" w:space="0"/>
            </w:tcBorders>
            <w:vAlign w:val="center"/>
          </w:tcPr>
          <w:p w14:paraId="5D0DBEEB">
            <w:pPr>
              <w:spacing w:after="0" w:line="240" w:lineRule="auto"/>
              <w:jc w:val="center"/>
              <w:rPr>
                <w:rFonts w:ascii="Times New Roman" w:hAnsi="Times New Roman" w:cs="Times New Roman"/>
                <w:sz w:val="20"/>
                <w:szCs w:val="20"/>
              </w:rPr>
            </w:pPr>
            <w:r>
              <w:rPr>
                <w:rFonts w:ascii="Times New Roman" w:hAnsi="Times New Roman" w:eastAsia="Calibri" w:cs="Times New Roman"/>
                <w:sz w:val="20"/>
                <w:szCs w:val="20"/>
              </w:rPr>
              <w:drawing>
                <wp:inline distT="0" distB="0" distL="0" distR="0">
                  <wp:extent cx="955040" cy="720090"/>
                  <wp:effectExtent l="0" t="0" r="0" b="3810"/>
                  <wp:docPr id="16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7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955040" cy="720090"/>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36234E1">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19939114">
            <w:pPr>
              <w:spacing w:line="240" w:lineRule="auto"/>
              <w:jc w:val="both"/>
              <w:rPr>
                <w:rFonts w:ascii="Times New Roman" w:hAnsi="Times New Roman" w:cs="Times New Roman"/>
                <w:sz w:val="20"/>
                <w:szCs w:val="20"/>
                <w:lang w:val="en-GB" w:eastAsia="en-GB"/>
              </w:rPr>
            </w:pPr>
          </w:p>
        </w:tc>
      </w:tr>
      <w:tr w14:paraId="7E34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CCDAFB0">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9D9F5AF">
            <w:pPr>
              <w:spacing w:line="240" w:lineRule="auto"/>
              <w:rPr>
                <w:rFonts w:ascii="Times New Roman" w:hAnsi="Times New Roman" w:cs="Times New Roman"/>
                <w:sz w:val="20"/>
                <w:szCs w:val="20"/>
              </w:rPr>
            </w:pPr>
            <w:r>
              <w:rPr>
                <w:rFonts w:ascii="Times New Roman" w:hAnsi="Times New Roman" w:cs="Times New Roman"/>
                <w:sz w:val="20"/>
                <w:szCs w:val="20"/>
              </w:rPr>
              <w:t>Procure 5No. motorbikes for Environmental Health Unit, BAC Officers and registry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9B3396E">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2BAEF85F">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300,000.00</w:t>
            </w:r>
          </w:p>
        </w:tc>
        <w:tc>
          <w:tcPr>
            <w:tcW w:w="1251" w:type="dxa"/>
            <w:tcBorders>
              <w:top w:val="single" w:color="auto" w:sz="4" w:space="0"/>
              <w:left w:val="single" w:color="auto" w:sz="4" w:space="0"/>
              <w:bottom w:val="single" w:color="auto" w:sz="4" w:space="0"/>
              <w:right w:val="single" w:color="auto" w:sz="4" w:space="0"/>
            </w:tcBorders>
            <w:vAlign w:val="center"/>
          </w:tcPr>
          <w:p w14:paraId="727B0BF5">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5869FB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8AA87C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128863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300,000.00</w:t>
            </w:r>
          </w:p>
        </w:tc>
        <w:tc>
          <w:tcPr>
            <w:tcW w:w="1276" w:type="dxa"/>
            <w:tcBorders>
              <w:top w:val="single" w:color="auto" w:sz="4" w:space="0"/>
              <w:left w:val="single" w:color="auto" w:sz="4" w:space="0"/>
              <w:bottom w:val="single" w:color="auto" w:sz="4" w:space="0"/>
              <w:right w:val="single" w:color="auto" w:sz="4" w:space="0"/>
            </w:tcBorders>
            <w:vAlign w:val="center"/>
          </w:tcPr>
          <w:p w14:paraId="1AB27F92">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CD4BA5D">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7FE4FB7">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244CF5D">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4D3D8E1">
            <w:pPr>
              <w:spacing w:line="240" w:lineRule="auto"/>
              <w:jc w:val="both"/>
              <w:rPr>
                <w:rFonts w:ascii="Times New Roman" w:hAnsi="Times New Roman" w:cs="Times New Roman"/>
                <w:sz w:val="20"/>
                <w:szCs w:val="20"/>
                <w:lang w:val="en-GB" w:eastAsia="en-GB"/>
              </w:rPr>
            </w:pPr>
          </w:p>
        </w:tc>
      </w:tr>
      <w:tr w14:paraId="370D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3F4B8B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E5F99F3">
            <w:pPr>
              <w:spacing w:line="240" w:lineRule="auto"/>
              <w:jc w:val="both"/>
              <w:rPr>
                <w:rFonts w:ascii="Times New Roman" w:hAnsi="Times New Roman" w:cs="Times New Roman"/>
                <w:sz w:val="20"/>
                <w:szCs w:val="20"/>
              </w:rPr>
            </w:pPr>
            <w:r>
              <w:rPr>
                <w:rFonts w:ascii="Times New Roman" w:hAnsi="Times New Roman" w:cs="Times New Roman"/>
                <w:sz w:val="20"/>
                <w:szCs w:val="20"/>
              </w:rPr>
              <w:t>Procure Laptops, Computers  &amp;Printers for Departments and Units by Dec. 2026.</w:t>
            </w:r>
          </w:p>
        </w:tc>
        <w:tc>
          <w:tcPr>
            <w:tcW w:w="1420" w:type="dxa"/>
            <w:tcBorders>
              <w:top w:val="single" w:color="auto" w:sz="4" w:space="0"/>
              <w:left w:val="single" w:color="auto" w:sz="4" w:space="0"/>
              <w:bottom w:val="single" w:color="auto" w:sz="4" w:space="0"/>
              <w:right w:val="single" w:color="auto" w:sz="4" w:space="0"/>
            </w:tcBorders>
            <w:vAlign w:val="center"/>
          </w:tcPr>
          <w:p w14:paraId="44A1EC13">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12EA64DB">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250,000.00</w:t>
            </w:r>
          </w:p>
        </w:tc>
        <w:tc>
          <w:tcPr>
            <w:tcW w:w="1251" w:type="dxa"/>
            <w:tcBorders>
              <w:top w:val="single" w:color="auto" w:sz="4" w:space="0"/>
              <w:left w:val="single" w:color="auto" w:sz="4" w:space="0"/>
              <w:bottom w:val="single" w:color="auto" w:sz="4" w:space="0"/>
              <w:right w:val="single" w:color="auto" w:sz="4" w:space="0"/>
            </w:tcBorders>
            <w:vAlign w:val="center"/>
          </w:tcPr>
          <w:p w14:paraId="452BD1C4">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D1B2C7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6867A8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0181D1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250,000.00</w:t>
            </w:r>
          </w:p>
        </w:tc>
        <w:tc>
          <w:tcPr>
            <w:tcW w:w="1276" w:type="dxa"/>
            <w:tcBorders>
              <w:top w:val="single" w:color="auto" w:sz="4" w:space="0"/>
              <w:left w:val="single" w:color="auto" w:sz="4" w:space="0"/>
              <w:bottom w:val="single" w:color="auto" w:sz="4" w:space="0"/>
              <w:right w:val="single" w:color="auto" w:sz="4" w:space="0"/>
            </w:tcBorders>
            <w:vAlign w:val="center"/>
          </w:tcPr>
          <w:p w14:paraId="3821834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8B52469">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842C8C7">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51D6538">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3C0D08A">
            <w:pPr>
              <w:spacing w:line="240" w:lineRule="auto"/>
              <w:jc w:val="both"/>
              <w:rPr>
                <w:rFonts w:ascii="Times New Roman" w:hAnsi="Times New Roman" w:cs="Times New Roman"/>
                <w:sz w:val="20"/>
                <w:szCs w:val="20"/>
                <w:lang w:val="en-GB" w:eastAsia="en-GB"/>
              </w:rPr>
            </w:pPr>
          </w:p>
        </w:tc>
      </w:tr>
      <w:tr w14:paraId="4562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977DE80">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69F7C96">
            <w:pPr>
              <w:tabs>
                <w:tab w:val="left" w:pos="5184"/>
              </w:tabs>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Procure  Plants to Adausena CHPS compound</w:t>
            </w:r>
            <w:r>
              <w:rPr>
                <w:rFonts w:ascii="Times New Roman" w:hAnsi="Times New Roman" w:cs="Times New Roman"/>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3F7B6726">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7C3102C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7F4494A9">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050807B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01CB5C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875380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76" w:type="dxa"/>
            <w:tcBorders>
              <w:top w:val="single" w:color="auto" w:sz="4" w:space="0"/>
              <w:left w:val="single" w:color="auto" w:sz="4" w:space="0"/>
              <w:bottom w:val="single" w:color="auto" w:sz="4" w:space="0"/>
              <w:right w:val="single" w:color="auto" w:sz="4" w:space="0"/>
            </w:tcBorders>
            <w:vAlign w:val="center"/>
          </w:tcPr>
          <w:p w14:paraId="13F4387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B28179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C1D98DA">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67DC859">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627BE090">
            <w:pPr>
              <w:spacing w:line="240" w:lineRule="auto"/>
              <w:jc w:val="both"/>
              <w:rPr>
                <w:rFonts w:ascii="Times New Roman" w:hAnsi="Times New Roman" w:cs="Times New Roman"/>
                <w:sz w:val="20"/>
                <w:szCs w:val="20"/>
                <w:lang w:val="en-GB" w:eastAsia="en-GB"/>
              </w:rPr>
            </w:pPr>
          </w:p>
        </w:tc>
      </w:tr>
      <w:tr w14:paraId="0F63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B4C172C">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121EB2C">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Organise entity tender committee meeting </w:t>
            </w:r>
            <w:r>
              <w:rPr>
                <w:rFonts w:ascii="Times New Roman" w:hAnsi="Times New Roman" w:cs="Times New Roman"/>
                <w:sz w:val="20"/>
                <w:szCs w:val="20"/>
              </w:rPr>
              <w:t xml:space="preserve">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7D47B7F2">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4368AB4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217EF5FE">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EAFE42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5CD0353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A9717D0">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50,000.00</w:t>
            </w:r>
          </w:p>
        </w:tc>
        <w:tc>
          <w:tcPr>
            <w:tcW w:w="1276" w:type="dxa"/>
            <w:tcBorders>
              <w:top w:val="single" w:color="auto" w:sz="4" w:space="0"/>
              <w:left w:val="single" w:color="auto" w:sz="4" w:space="0"/>
              <w:bottom w:val="single" w:color="auto" w:sz="4" w:space="0"/>
              <w:right w:val="single" w:color="auto" w:sz="4" w:space="0"/>
            </w:tcBorders>
            <w:vAlign w:val="center"/>
          </w:tcPr>
          <w:p w14:paraId="5179584F">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73DAF0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4719C8D">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258FBFB7">
            <w:pPr>
              <w:spacing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6BA97F0">
            <w:pPr>
              <w:spacing w:line="240" w:lineRule="auto"/>
              <w:jc w:val="both"/>
              <w:rPr>
                <w:rFonts w:ascii="Times New Roman" w:hAnsi="Times New Roman" w:cs="Times New Roman"/>
                <w:sz w:val="20"/>
                <w:szCs w:val="20"/>
                <w:lang w:val="en-GB" w:eastAsia="en-GB"/>
              </w:rPr>
            </w:pPr>
          </w:p>
        </w:tc>
      </w:tr>
      <w:tr w14:paraId="0587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7BC3119F">
            <w:pPr>
              <w:spacing w:line="240" w:lineRule="auto"/>
              <w:jc w:val="center"/>
              <w:rPr>
                <w:rFonts w:ascii="Times New Roman" w:hAnsi="Times New Roman" w:cs="Times New Roman"/>
                <w:sz w:val="20"/>
                <w:szCs w:val="20"/>
                <w:lang w:val="en-GB" w:eastAsia="en-GB"/>
              </w:rPr>
            </w:pPr>
            <w:r>
              <w:rPr>
                <w:rFonts w:ascii="Times New Roman" w:hAnsi="Times New Roman" w:cs="Times New Roman"/>
                <w:b/>
                <w:sz w:val="20"/>
                <w:szCs w:val="20"/>
                <w:lang w:val="en-GB" w:eastAsia="en-GB"/>
              </w:rPr>
              <w:t>HUMAN RESOURCE DEVELOPMENT</w:t>
            </w:r>
          </w:p>
        </w:tc>
      </w:tr>
      <w:tr w14:paraId="1C88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A555B09">
            <w:pPr>
              <w:numPr>
                <w:ilvl w:val="0"/>
                <w:numId w:val="7"/>
              </w:numPr>
              <w:spacing w:after="0" w:line="240" w:lineRule="auto"/>
              <w:contextualSpacing/>
              <w:rPr>
                <w:rFonts w:ascii="Times New Roman" w:hAnsi="Times New Roman" w:cs="Times New Roman"/>
                <w:sz w:val="20"/>
                <w:szCs w:val="20"/>
                <w:lang w:eastAsia="zh-CN"/>
              </w:rPr>
            </w:pPr>
          </w:p>
        </w:tc>
        <w:tc>
          <w:tcPr>
            <w:tcW w:w="2582" w:type="dxa"/>
            <w:shd w:val="clear" w:color="auto" w:fill="FBE4D5" w:themeFill="accent2" w:themeFillTint="33"/>
            <w:vAlign w:val="center"/>
          </w:tcPr>
          <w:p w14:paraId="47924BA0">
            <w:pPr>
              <w:spacing w:before="100" w:beforeAutospacing="1" w:after="0" w:line="240" w:lineRule="auto"/>
              <w:jc w:val="both"/>
              <w:rPr>
                <w:rFonts w:ascii="Times New Roman" w:hAnsi="Times New Roman" w:cs="Times New Roman"/>
                <w:sz w:val="20"/>
                <w:szCs w:val="20"/>
              </w:rPr>
            </w:pPr>
            <w:r>
              <w:rPr>
                <w:rFonts w:ascii="Times New Roman" w:hAnsi="Times New Roman" w:cs="Times New Roman"/>
                <w:sz w:val="20"/>
                <w:szCs w:val="20"/>
              </w:rPr>
              <w:t>Organize Capacity building workshops for revenue collectors, staff, Assembly members and Security by the end of Dec. 2026.</w:t>
            </w:r>
          </w:p>
        </w:tc>
        <w:tc>
          <w:tcPr>
            <w:tcW w:w="1420" w:type="dxa"/>
            <w:vAlign w:val="center"/>
          </w:tcPr>
          <w:p w14:paraId="526C0D6B">
            <w:pPr>
              <w:spacing w:after="0" w:line="240" w:lineRule="auto"/>
              <w:rPr>
                <w:rFonts w:ascii="Times New Roman" w:hAnsi="Times New Roman" w:cs="Times New Roman"/>
                <w:sz w:val="20"/>
                <w:szCs w:val="20"/>
              </w:rPr>
            </w:pPr>
          </w:p>
        </w:tc>
        <w:tc>
          <w:tcPr>
            <w:tcW w:w="1157" w:type="dxa"/>
            <w:vAlign w:val="center"/>
          </w:tcPr>
          <w:p w14:paraId="164BA8F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rPr>
              <w:t>167,574.00</w:t>
            </w:r>
          </w:p>
        </w:tc>
        <w:tc>
          <w:tcPr>
            <w:tcW w:w="1251" w:type="dxa"/>
            <w:vAlign w:val="center"/>
          </w:tcPr>
          <w:p w14:paraId="6F9E2FE5">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DACF</w:t>
            </w:r>
          </w:p>
        </w:tc>
        <w:tc>
          <w:tcPr>
            <w:tcW w:w="992" w:type="dxa"/>
            <w:vAlign w:val="center"/>
          </w:tcPr>
          <w:p w14:paraId="22A0636C">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vAlign w:val="center"/>
          </w:tcPr>
          <w:p w14:paraId="7E12EA31">
            <w:pPr>
              <w:spacing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 xml:space="preserve">st </w:t>
            </w:r>
            <w:r>
              <w:rPr>
                <w:rFonts w:ascii="Times New Roman" w:hAnsi="Times New Roman" w:cs="Times New Roman"/>
                <w:sz w:val="20"/>
                <w:szCs w:val="20"/>
                <w:lang w:eastAsia="en-GB"/>
              </w:rPr>
              <w:t>March 2026</w:t>
            </w:r>
          </w:p>
        </w:tc>
        <w:tc>
          <w:tcPr>
            <w:tcW w:w="1118" w:type="dxa"/>
            <w:vAlign w:val="center"/>
          </w:tcPr>
          <w:p w14:paraId="36AF5057">
            <w:pPr>
              <w:spacing w:after="0" w:line="240" w:lineRule="auto"/>
              <w:jc w:val="center"/>
              <w:rPr>
                <w:rFonts w:ascii="Times New Roman" w:hAnsi="Times New Roman" w:cs="Times New Roman" w:eastAsiaTheme="majorEastAsia"/>
                <w:bCs/>
                <w:sz w:val="20"/>
                <w:szCs w:val="20"/>
              </w:rPr>
            </w:pPr>
            <w:r>
              <w:rPr>
                <w:rFonts w:ascii="Times New Roman" w:hAnsi="Times New Roman" w:cs="Times New Roman"/>
                <w:sz w:val="20"/>
                <w:szCs w:val="20"/>
              </w:rPr>
              <w:t>167,574.00</w:t>
            </w:r>
          </w:p>
        </w:tc>
        <w:tc>
          <w:tcPr>
            <w:tcW w:w="1276" w:type="dxa"/>
            <w:vAlign w:val="center"/>
          </w:tcPr>
          <w:p w14:paraId="7EA9DAD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vAlign w:val="center"/>
          </w:tcPr>
          <w:p w14:paraId="553E588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25%</w:t>
            </w:r>
          </w:p>
        </w:tc>
        <w:tc>
          <w:tcPr>
            <w:tcW w:w="1212" w:type="dxa"/>
            <w:vAlign w:val="center"/>
          </w:tcPr>
          <w:p w14:paraId="53D62F65">
            <w:pPr>
              <w:spacing w:after="0" w:line="240" w:lineRule="auto"/>
              <w:jc w:val="center"/>
              <w:rPr>
                <w:rFonts w:ascii="Times New Roman" w:hAnsi="Times New Roman" w:cs="Times New Roman"/>
                <w:sz w:val="20"/>
                <w:szCs w:val="20"/>
                <w:lang w:val="en-GB" w:eastAsia="en-GB"/>
              </w:rPr>
            </w:pPr>
            <w:r>
              <w:rPr>
                <w:rFonts w:ascii="Times New Roman" w:hAnsi="Times New Roman" w:cs="Times New Roman"/>
                <w:sz w:val="20"/>
                <w:szCs w:val="20"/>
              </w:rPr>
              <w:drawing>
                <wp:inline distT="0" distB="0" distL="0" distR="0">
                  <wp:extent cx="863600" cy="5657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883002" cy="579094"/>
                          </a:xfrm>
                          <a:prstGeom prst="rect">
                            <a:avLst/>
                          </a:prstGeom>
                          <a:noFill/>
                          <a:ln>
                            <a:noFill/>
                          </a:ln>
                        </pic:spPr>
                      </pic:pic>
                    </a:graphicData>
                  </a:graphic>
                </wp:inline>
              </w:drawing>
            </w:r>
          </w:p>
        </w:tc>
        <w:tc>
          <w:tcPr>
            <w:tcW w:w="1559" w:type="dxa"/>
            <w:shd w:val="clear" w:color="auto" w:fill="FFFF00"/>
            <w:vAlign w:val="center"/>
          </w:tcPr>
          <w:p w14:paraId="5AE50A0F">
            <w:pPr>
              <w:spacing w:after="0" w:line="240" w:lineRule="auto"/>
              <w:jc w:val="center"/>
              <w:rPr>
                <w:rFonts w:ascii="Times New Roman" w:hAnsi="Times New Roman" w:cs="Times New Roman"/>
                <w:b/>
                <w:sz w:val="20"/>
                <w:szCs w:val="20"/>
                <w:lang w:val="en-GB" w:eastAsia="en-GB"/>
              </w:rPr>
            </w:pPr>
            <w:r>
              <w:rPr>
                <w:rFonts w:ascii="Times New Roman" w:hAnsi="Times New Roman" w:cs="Times New Roman"/>
                <w:sz w:val="20"/>
                <w:szCs w:val="20"/>
                <w:highlight w:val="yellow"/>
              </w:rPr>
              <w:t>On-going</w:t>
            </w:r>
          </w:p>
        </w:tc>
        <w:tc>
          <w:tcPr>
            <w:tcW w:w="990" w:type="dxa"/>
            <w:vAlign w:val="center"/>
          </w:tcPr>
          <w:p w14:paraId="1FBFCF85">
            <w:pPr>
              <w:spacing w:after="0" w:line="240" w:lineRule="auto"/>
              <w:jc w:val="both"/>
              <w:rPr>
                <w:rFonts w:ascii="Times New Roman" w:hAnsi="Times New Roman" w:cs="Times New Roman"/>
                <w:sz w:val="20"/>
                <w:szCs w:val="20"/>
                <w:lang w:val="en-GB" w:eastAsia="en-GB"/>
              </w:rPr>
            </w:pPr>
          </w:p>
        </w:tc>
      </w:tr>
      <w:tr w14:paraId="0FB8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4D1DEA74">
            <w:pPr>
              <w:spacing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DEVELOPMENT PLANNING</w:t>
            </w:r>
          </w:p>
        </w:tc>
      </w:tr>
      <w:tr w14:paraId="4770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2C1A21BE">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18D4141">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Organise 4no. quarterly DPCU meetings</w:t>
            </w:r>
            <w:r>
              <w:rPr>
                <w:rFonts w:ascii="Times New Roman" w:hAnsi="Times New Roman" w:cs="Times New Roman"/>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230D1C2D">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48FEC1B7">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40,000.00</w:t>
            </w:r>
          </w:p>
        </w:tc>
        <w:tc>
          <w:tcPr>
            <w:tcW w:w="1251" w:type="dxa"/>
            <w:tcBorders>
              <w:top w:val="single" w:color="auto" w:sz="4" w:space="0"/>
              <w:left w:val="single" w:color="auto" w:sz="4" w:space="0"/>
              <w:bottom w:val="single" w:color="auto" w:sz="4" w:space="0"/>
              <w:right w:val="single" w:color="auto" w:sz="4" w:space="0"/>
            </w:tcBorders>
            <w:vAlign w:val="center"/>
          </w:tcPr>
          <w:p w14:paraId="705A66E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7299C5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26027F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DEB52C7">
            <w:pPr>
              <w:spacing w:after="0" w:line="240" w:lineRule="auto"/>
              <w:jc w:val="center"/>
              <w:rPr>
                <w:rFonts w:ascii="Times New Roman" w:hAnsi="Times New Roman" w:cs="Times New Roman" w:eastAsiaTheme="majorEastAsia"/>
                <w:bCs/>
                <w:sz w:val="20"/>
                <w:szCs w:val="20"/>
              </w:rPr>
            </w:pPr>
            <w:r>
              <w:rPr>
                <w:rFonts w:ascii="Times New Roman" w:hAnsi="Times New Roman" w:cs="Times New Roman" w:eastAsiaTheme="majorEastAsia"/>
                <w:bCs/>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77D380E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0805B57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5E0FD7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1061720" cy="795655"/>
                  <wp:effectExtent l="0" t="0" r="5080" b="4445"/>
                  <wp:docPr id="41" name="Picture 41" descr="C:\Users\D\OneDrive\Pictures\Saved Pictures\4TH DPC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D\OneDrive\Pictures\Saved Pictures\4TH DPCU.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100697" cy="825162"/>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20D5813A">
            <w:pPr>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39CB4DAF">
            <w:pPr>
              <w:spacing w:line="240" w:lineRule="auto"/>
              <w:jc w:val="both"/>
              <w:rPr>
                <w:rFonts w:ascii="Times New Roman" w:hAnsi="Times New Roman" w:cs="Times New Roman"/>
                <w:sz w:val="20"/>
                <w:szCs w:val="20"/>
                <w:lang w:val="en-GB" w:eastAsia="en-GB"/>
              </w:rPr>
            </w:pPr>
          </w:p>
        </w:tc>
      </w:tr>
      <w:tr w14:paraId="6B8E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1D2621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F09A42E">
            <w:pPr>
              <w:spacing w:before="100" w:beforeAutospacing="1" w:line="240" w:lineRule="auto"/>
              <w:rPr>
                <w:rFonts w:ascii="Times New Roman" w:hAnsi="Times New Roman" w:eastAsia="Calibri" w:cs="Times New Roman"/>
                <w:sz w:val="20"/>
                <w:szCs w:val="20"/>
              </w:rPr>
            </w:pPr>
            <w:r>
              <w:rPr>
                <w:rFonts w:ascii="Times New Roman" w:hAnsi="Times New Roman" w:eastAsia="Calibri" w:cs="Times New Roman"/>
                <w:sz w:val="20"/>
                <w:szCs w:val="20"/>
              </w:rPr>
              <w:t>Prepare quarterly and annual progress report</w:t>
            </w:r>
            <w:r>
              <w:rPr>
                <w:rFonts w:ascii="Times New Roman" w:hAnsi="Times New Roman" w:cs="Times New Roman"/>
                <w:sz w:val="20"/>
                <w:szCs w:val="20"/>
              </w:rPr>
              <w:t xml:space="preserve"> by the end of Dec. 2026.</w:t>
            </w:r>
            <w:r>
              <w:rPr>
                <w:rFonts w:ascii="Times New Roman" w:hAnsi="Times New Roman" w:eastAsia="Calibri" w:cs="Times New Roman"/>
                <w:sz w:val="20"/>
                <w:szCs w:val="20"/>
              </w:rPr>
              <w:t xml:space="preserve"> </w:t>
            </w:r>
          </w:p>
        </w:tc>
        <w:tc>
          <w:tcPr>
            <w:tcW w:w="1420" w:type="dxa"/>
            <w:tcBorders>
              <w:top w:val="single" w:color="auto" w:sz="4" w:space="0"/>
              <w:left w:val="single" w:color="auto" w:sz="4" w:space="0"/>
              <w:bottom w:val="single" w:color="auto" w:sz="4" w:space="0"/>
              <w:right w:val="single" w:color="auto" w:sz="4" w:space="0"/>
            </w:tcBorders>
            <w:vAlign w:val="center"/>
          </w:tcPr>
          <w:p w14:paraId="5FEC6FC5">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0C88CA89">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40,000.00</w:t>
            </w:r>
          </w:p>
        </w:tc>
        <w:tc>
          <w:tcPr>
            <w:tcW w:w="1251" w:type="dxa"/>
            <w:tcBorders>
              <w:top w:val="single" w:color="auto" w:sz="4" w:space="0"/>
              <w:left w:val="single" w:color="auto" w:sz="4" w:space="0"/>
              <w:bottom w:val="single" w:color="auto" w:sz="4" w:space="0"/>
              <w:right w:val="single" w:color="auto" w:sz="4" w:space="0"/>
            </w:tcBorders>
            <w:vAlign w:val="center"/>
          </w:tcPr>
          <w:p w14:paraId="76CEA7CF">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7108995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1EED8F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307925D">
            <w:pPr>
              <w:spacing w:after="0" w:line="240" w:lineRule="auto"/>
              <w:jc w:val="center"/>
              <w:rPr>
                <w:rFonts w:ascii="Times New Roman" w:hAnsi="Times New Roman" w:cs="Times New Roman" w:eastAsiaTheme="majorEastAsia"/>
                <w:bCs/>
                <w:sz w:val="20"/>
                <w:szCs w:val="20"/>
              </w:rPr>
            </w:pPr>
            <w:r>
              <w:rPr>
                <w:rFonts w:ascii="Times New Roman" w:hAnsi="Times New Roman" w:cs="Times New Roman" w:eastAsiaTheme="majorEastAsia"/>
                <w:bCs/>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0486F10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2,000.00</w:t>
            </w:r>
          </w:p>
        </w:tc>
        <w:tc>
          <w:tcPr>
            <w:tcW w:w="757" w:type="dxa"/>
            <w:tcBorders>
              <w:top w:val="single" w:color="auto" w:sz="4" w:space="0"/>
              <w:left w:val="single" w:color="auto" w:sz="4" w:space="0"/>
              <w:bottom w:val="single" w:color="auto" w:sz="4" w:space="0"/>
              <w:right w:val="single" w:color="auto" w:sz="4" w:space="0"/>
            </w:tcBorders>
            <w:vAlign w:val="center"/>
          </w:tcPr>
          <w:p w14:paraId="47D8402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4E22DA82">
            <w:pPr>
              <w:spacing w:after="0" w:line="240" w:lineRule="auto"/>
              <w:jc w:val="center"/>
              <w:rPr>
                <w:rFonts w:ascii="Times New Roman" w:hAnsi="Times New Roman" w:cs="Times New Roman"/>
                <w:sz w:val="20"/>
                <w:szCs w:val="20"/>
              </w:rPr>
            </w:pPr>
            <w:r>
              <w:rPr>
                <w:rFonts w:ascii="Times New Roman" w:hAnsi="Times New Roman" w:eastAsia="Times New Roman" w:cs="Times New Roman"/>
                <w:sz w:val="20"/>
                <w:szCs w:val="20"/>
              </w:rPr>
              <w:drawing>
                <wp:anchor distT="0" distB="0" distL="114300" distR="114300" simplePos="0" relativeHeight="251673600" behindDoc="0" locked="0" layoutInCell="1" allowOverlap="1">
                  <wp:simplePos x="0" y="0"/>
                  <wp:positionH relativeFrom="margin">
                    <wp:posOffset>-34290</wp:posOffset>
                  </wp:positionH>
                  <wp:positionV relativeFrom="page">
                    <wp:posOffset>150495</wp:posOffset>
                  </wp:positionV>
                  <wp:extent cx="942340" cy="742950"/>
                  <wp:effectExtent l="4445" t="0" r="0" b="0"/>
                  <wp:wrapSquare wrapText="bothSides"/>
                  <wp:docPr id="1011249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49101"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rot="16200000">
                            <a:off x="0" y="0"/>
                            <a:ext cx="942340" cy="742950"/>
                          </a:xfrm>
                          <a:prstGeom prst="rect">
                            <a:avLst/>
                          </a:prstGeom>
                          <a:noFill/>
                          <a:ln>
                            <a:noFill/>
                          </a:ln>
                        </pic:spPr>
                      </pic:pic>
                    </a:graphicData>
                  </a:graphic>
                </wp:anchor>
              </w:drawing>
            </w:r>
          </w:p>
        </w:tc>
        <w:tc>
          <w:tcPr>
            <w:tcW w:w="1559" w:type="dxa"/>
            <w:tcBorders>
              <w:top w:val="single" w:color="auto" w:sz="4" w:space="0"/>
              <w:left w:val="single" w:color="auto" w:sz="4" w:space="0"/>
              <w:bottom w:val="nil"/>
              <w:right w:val="single" w:color="auto" w:sz="4" w:space="0"/>
            </w:tcBorders>
            <w:shd w:val="clear" w:color="auto" w:fill="FFFF00"/>
            <w:vAlign w:val="center"/>
          </w:tcPr>
          <w:p w14:paraId="2A25971A">
            <w:pPr>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F228D2B">
            <w:pPr>
              <w:spacing w:line="240" w:lineRule="auto"/>
              <w:jc w:val="both"/>
              <w:rPr>
                <w:rFonts w:ascii="Times New Roman" w:hAnsi="Times New Roman" w:cs="Times New Roman"/>
                <w:sz w:val="20"/>
                <w:szCs w:val="20"/>
                <w:lang w:val="en-GB" w:eastAsia="en-GB"/>
              </w:rPr>
            </w:pPr>
          </w:p>
        </w:tc>
      </w:tr>
      <w:tr w14:paraId="1CC8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B3C3266">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F66537D">
            <w:pPr>
              <w:spacing w:before="100" w:beforeAutospacing="1" w:line="240" w:lineRule="auto"/>
              <w:rPr>
                <w:rFonts w:ascii="Times New Roman" w:hAnsi="Times New Roman" w:eastAsia="Calibri" w:cs="Times New Roman"/>
                <w:sz w:val="20"/>
                <w:szCs w:val="20"/>
              </w:rPr>
            </w:pPr>
            <w:r>
              <w:rPr>
                <w:rFonts w:ascii="Times New Roman" w:hAnsi="Times New Roman" w:cs="Times New Roman"/>
                <w:sz w:val="20"/>
                <w:szCs w:val="20"/>
              </w:rPr>
              <w:t>Organize 2 no inter-sectoral meetings by the end of the second and third quarter 2026.</w:t>
            </w:r>
          </w:p>
        </w:tc>
        <w:tc>
          <w:tcPr>
            <w:tcW w:w="1420" w:type="dxa"/>
            <w:tcBorders>
              <w:top w:val="single" w:color="auto" w:sz="4" w:space="0"/>
              <w:left w:val="single" w:color="auto" w:sz="4" w:space="0"/>
              <w:bottom w:val="single" w:color="auto" w:sz="4" w:space="0"/>
              <w:right w:val="single" w:color="auto" w:sz="4" w:space="0"/>
            </w:tcBorders>
            <w:vAlign w:val="center"/>
          </w:tcPr>
          <w:p w14:paraId="039DB37D">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53FB640D">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35,000.00</w:t>
            </w:r>
          </w:p>
        </w:tc>
        <w:tc>
          <w:tcPr>
            <w:tcW w:w="1251" w:type="dxa"/>
            <w:tcBorders>
              <w:top w:val="single" w:color="auto" w:sz="4" w:space="0"/>
              <w:left w:val="single" w:color="auto" w:sz="4" w:space="0"/>
              <w:bottom w:val="single" w:color="auto" w:sz="4" w:space="0"/>
              <w:right w:val="single" w:color="auto" w:sz="4" w:space="0"/>
            </w:tcBorders>
            <w:vAlign w:val="center"/>
          </w:tcPr>
          <w:p w14:paraId="6E3A35EA">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A33412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B5650DA">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9688813">
            <w:pPr>
              <w:spacing w:before="100" w:beforeAutospacing="1"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35,000.00</w:t>
            </w:r>
          </w:p>
        </w:tc>
        <w:tc>
          <w:tcPr>
            <w:tcW w:w="1276" w:type="dxa"/>
            <w:tcBorders>
              <w:top w:val="single" w:color="auto" w:sz="4" w:space="0"/>
              <w:left w:val="single" w:color="auto" w:sz="4" w:space="0"/>
              <w:bottom w:val="single" w:color="auto" w:sz="4" w:space="0"/>
              <w:right w:val="single" w:color="auto" w:sz="4" w:space="0"/>
            </w:tcBorders>
            <w:vAlign w:val="center"/>
          </w:tcPr>
          <w:p w14:paraId="2A39025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81AA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617FF9B2">
            <w:pPr>
              <w:spacing w:after="0" w:line="240" w:lineRule="auto"/>
              <w:jc w:val="center"/>
              <w:rPr>
                <w:rFonts w:ascii="Times New Roman" w:hAnsi="Times New Roman" w:cs="Times New Roman"/>
                <w:sz w:val="20"/>
                <w:szCs w:val="20"/>
              </w:rPr>
            </w:pPr>
          </w:p>
        </w:tc>
        <w:tc>
          <w:tcPr>
            <w:tcW w:w="1559" w:type="dxa"/>
            <w:tcBorders>
              <w:top w:val="nil"/>
              <w:left w:val="single" w:color="auto" w:sz="4" w:space="0"/>
              <w:bottom w:val="single" w:color="auto" w:sz="4" w:space="0"/>
              <w:right w:val="single" w:color="auto" w:sz="4" w:space="0"/>
            </w:tcBorders>
            <w:shd w:val="clear" w:color="auto" w:fill="FF0000"/>
            <w:vAlign w:val="center"/>
          </w:tcPr>
          <w:p w14:paraId="059B0F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8A35386">
            <w:pPr>
              <w:spacing w:line="240" w:lineRule="auto"/>
              <w:jc w:val="both"/>
              <w:rPr>
                <w:rFonts w:ascii="Times New Roman" w:hAnsi="Times New Roman" w:cs="Times New Roman"/>
                <w:sz w:val="20"/>
                <w:szCs w:val="20"/>
                <w:lang w:val="en-GB" w:eastAsia="en-GB"/>
              </w:rPr>
            </w:pPr>
          </w:p>
        </w:tc>
      </w:tr>
      <w:tr w14:paraId="3F9C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16A527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6E9CC10">
            <w:pPr>
              <w:spacing w:line="240" w:lineRule="auto"/>
              <w:rPr>
                <w:rFonts w:ascii="Times New Roman" w:hAnsi="Times New Roman" w:cs="Times New Roman"/>
                <w:sz w:val="20"/>
                <w:szCs w:val="20"/>
              </w:rPr>
            </w:pPr>
            <w:r>
              <w:rPr>
                <w:rFonts w:ascii="Times New Roman" w:hAnsi="Times New Roman" w:cs="Times New Roman"/>
                <w:sz w:val="20"/>
                <w:szCs w:val="20"/>
              </w:rPr>
              <w:t>Organize 2 No Town hall meetings by the end of  the First and Third  2026.</w:t>
            </w:r>
          </w:p>
        </w:tc>
        <w:tc>
          <w:tcPr>
            <w:tcW w:w="1420" w:type="dxa"/>
            <w:tcBorders>
              <w:top w:val="single" w:color="auto" w:sz="4" w:space="0"/>
              <w:left w:val="single" w:color="auto" w:sz="4" w:space="0"/>
              <w:bottom w:val="single" w:color="auto" w:sz="4" w:space="0"/>
              <w:right w:val="single" w:color="auto" w:sz="4" w:space="0"/>
            </w:tcBorders>
            <w:vAlign w:val="center"/>
          </w:tcPr>
          <w:p w14:paraId="724643D2">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0CA4D07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51" w:type="dxa"/>
            <w:tcBorders>
              <w:top w:val="single" w:color="auto" w:sz="4" w:space="0"/>
              <w:left w:val="single" w:color="auto" w:sz="4" w:space="0"/>
              <w:bottom w:val="single" w:color="auto" w:sz="4" w:space="0"/>
              <w:right w:val="single" w:color="auto" w:sz="4" w:space="0"/>
            </w:tcBorders>
            <w:vAlign w:val="center"/>
          </w:tcPr>
          <w:p w14:paraId="29DE44C4">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F00DD6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F39CBB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1748565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50,000.00</w:t>
            </w:r>
          </w:p>
        </w:tc>
        <w:tc>
          <w:tcPr>
            <w:tcW w:w="1276" w:type="dxa"/>
            <w:tcBorders>
              <w:top w:val="single" w:color="auto" w:sz="4" w:space="0"/>
              <w:left w:val="single" w:color="auto" w:sz="4" w:space="0"/>
              <w:bottom w:val="single" w:color="auto" w:sz="4" w:space="0"/>
              <w:right w:val="single" w:color="auto" w:sz="4" w:space="0"/>
            </w:tcBorders>
            <w:vAlign w:val="center"/>
          </w:tcPr>
          <w:p w14:paraId="4D25FA7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5056D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7C48DCBD">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12493E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1EDDD762">
            <w:pPr>
              <w:spacing w:line="240" w:lineRule="auto"/>
              <w:jc w:val="both"/>
              <w:rPr>
                <w:rFonts w:ascii="Times New Roman" w:hAnsi="Times New Roman" w:cs="Times New Roman"/>
                <w:sz w:val="20"/>
                <w:szCs w:val="20"/>
                <w:lang w:val="en-GB" w:eastAsia="en-GB"/>
              </w:rPr>
            </w:pPr>
          </w:p>
        </w:tc>
      </w:tr>
      <w:tr w14:paraId="5C53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297ABA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FA24B11">
            <w:pPr>
              <w:spacing w:line="240" w:lineRule="auto"/>
              <w:rPr>
                <w:rFonts w:ascii="Times New Roman" w:hAnsi="Times New Roman" w:cs="Times New Roman"/>
                <w:sz w:val="20"/>
                <w:szCs w:val="20"/>
              </w:rPr>
            </w:pPr>
            <w:r>
              <w:rPr>
                <w:rFonts w:ascii="Times New Roman" w:hAnsi="Times New Roman" w:cs="Times New Roman"/>
                <w:sz w:val="20"/>
                <w:szCs w:val="20"/>
              </w:rPr>
              <w:t>Organize quarterly Monitoring and evaluation activities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02693A1">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72FA7A20">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150,000.00</w:t>
            </w:r>
          </w:p>
        </w:tc>
        <w:tc>
          <w:tcPr>
            <w:tcW w:w="1251" w:type="dxa"/>
            <w:tcBorders>
              <w:top w:val="single" w:color="auto" w:sz="4" w:space="0"/>
              <w:left w:val="single" w:color="auto" w:sz="4" w:space="0"/>
              <w:bottom w:val="single" w:color="auto" w:sz="4" w:space="0"/>
              <w:right w:val="single" w:color="auto" w:sz="4" w:space="0"/>
            </w:tcBorders>
            <w:vAlign w:val="center"/>
          </w:tcPr>
          <w:p w14:paraId="0E2C1A62">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4CFCE5B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D05553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0A3714D">
            <w:pPr>
              <w:spacing w:after="0" w:line="240" w:lineRule="auto"/>
              <w:jc w:val="center"/>
              <w:rPr>
                <w:rFonts w:ascii="Times New Roman" w:hAnsi="Times New Roman" w:cs="Times New Roman" w:eastAsiaTheme="majorEastAsia"/>
                <w:bCs/>
                <w:sz w:val="20"/>
                <w:szCs w:val="20"/>
              </w:rPr>
            </w:pPr>
            <w:r>
              <w:rPr>
                <w:rFonts w:ascii="Times New Roman" w:hAnsi="Times New Roman" w:cs="Times New Roman" w:eastAsiaTheme="majorEastAsia"/>
                <w:bCs/>
                <w:sz w:val="20"/>
                <w:szCs w:val="20"/>
              </w:rPr>
              <w:t>20,000.00</w:t>
            </w:r>
          </w:p>
        </w:tc>
        <w:tc>
          <w:tcPr>
            <w:tcW w:w="1276" w:type="dxa"/>
            <w:tcBorders>
              <w:top w:val="single" w:color="auto" w:sz="4" w:space="0"/>
              <w:left w:val="single" w:color="auto" w:sz="4" w:space="0"/>
              <w:bottom w:val="single" w:color="auto" w:sz="4" w:space="0"/>
              <w:right w:val="single" w:color="auto" w:sz="4" w:space="0"/>
            </w:tcBorders>
            <w:vAlign w:val="center"/>
          </w:tcPr>
          <w:p w14:paraId="493E9201">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10,000.00</w:t>
            </w:r>
          </w:p>
        </w:tc>
        <w:tc>
          <w:tcPr>
            <w:tcW w:w="757" w:type="dxa"/>
            <w:tcBorders>
              <w:top w:val="single" w:color="auto" w:sz="4" w:space="0"/>
              <w:left w:val="single" w:color="auto" w:sz="4" w:space="0"/>
              <w:bottom w:val="single" w:color="auto" w:sz="4" w:space="0"/>
              <w:right w:val="single" w:color="auto" w:sz="4" w:space="0"/>
            </w:tcBorders>
            <w:vAlign w:val="center"/>
          </w:tcPr>
          <w:p w14:paraId="007414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033AD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880110" cy="5867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885550" cy="590616"/>
                          </a:xfrm>
                          <a:prstGeom prst="rect">
                            <a:avLst/>
                          </a:prstGeom>
                          <a:noFill/>
                          <a:ln>
                            <a:noFill/>
                          </a:ln>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59938D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0C9F74E2">
            <w:pPr>
              <w:spacing w:line="240" w:lineRule="auto"/>
              <w:jc w:val="both"/>
              <w:rPr>
                <w:rFonts w:ascii="Times New Roman" w:hAnsi="Times New Roman" w:cs="Times New Roman"/>
                <w:sz w:val="20"/>
                <w:szCs w:val="20"/>
                <w:lang w:val="en-GB" w:eastAsia="en-GB"/>
              </w:rPr>
            </w:pPr>
          </w:p>
        </w:tc>
      </w:tr>
      <w:tr w14:paraId="7E76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48EC7BD">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4916332">
            <w:pPr>
              <w:spacing w:line="240" w:lineRule="auto"/>
              <w:rPr>
                <w:rFonts w:ascii="Times New Roman" w:hAnsi="Times New Roman" w:cs="Times New Roman"/>
                <w:sz w:val="20"/>
                <w:szCs w:val="20"/>
              </w:rPr>
            </w:pPr>
            <w:r>
              <w:rPr>
                <w:rFonts w:ascii="Times New Roman" w:hAnsi="Times New Roman" w:cs="Times New Roman"/>
                <w:sz w:val="20"/>
                <w:szCs w:val="20"/>
              </w:rPr>
              <w:t>Prepare  Annual Action Plan and project Concept Note for 2027 by the end of Oct. 2026</w:t>
            </w:r>
          </w:p>
        </w:tc>
        <w:tc>
          <w:tcPr>
            <w:tcW w:w="1420" w:type="dxa"/>
            <w:tcBorders>
              <w:top w:val="single" w:color="auto" w:sz="4" w:space="0"/>
              <w:left w:val="single" w:color="auto" w:sz="4" w:space="0"/>
              <w:bottom w:val="single" w:color="auto" w:sz="4" w:space="0"/>
              <w:right w:val="single" w:color="auto" w:sz="4" w:space="0"/>
            </w:tcBorders>
            <w:vAlign w:val="center"/>
          </w:tcPr>
          <w:p w14:paraId="18973E39">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7D3AC800">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5317AA26">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4DE76146">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408BA2B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7EEB3C7">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76" w:type="dxa"/>
            <w:tcBorders>
              <w:top w:val="single" w:color="auto" w:sz="4" w:space="0"/>
              <w:left w:val="single" w:color="auto" w:sz="4" w:space="0"/>
              <w:bottom w:val="single" w:color="auto" w:sz="4" w:space="0"/>
              <w:right w:val="single" w:color="auto" w:sz="4" w:space="0"/>
            </w:tcBorders>
            <w:vAlign w:val="center"/>
          </w:tcPr>
          <w:p w14:paraId="2B73BCF3">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224801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1D527C40">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007555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06A70CC">
            <w:pPr>
              <w:spacing w:line="240" w:lineRule="auto"/>
              <w:jc w:val="both"/>
              <w:rPr>
                <w:rFonts w:ascii="Times New Roman" w:hAnsi="Times New Roman" w:cs="Times New Roman"/>
                <w:sz w:val="20"/>
                <w:szCs w:val="20"/>
                <w:lang w:val="en-GB" w:eastAsia="en-GB"/>
              </w:rPr>
            </w:pPr>
          </w:p>
        </w:tc>
      </w:tr>
      <w:tr w14:paraId="5C60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FF3864E">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0C741650">
            <w:pPr>
              <w:spacing w:line="240" w:lineRule="auto"/>
              <w:rPr>
                <w:rFonts w:ascii="Times New Roman" w:hAnsi="Times New Roman" w:cs="Times New Roman"/>
                <w:sz w:val="20"/>
                <w:szCs w:val="20"/>
              </w:rPr>
            </w:pPr>
            <w:r>
              <w:rPr>
                <w:rFonts w:ascii="Times New Roman" w:hAnsi="Times New Roman" w:cs="Times New Roman"/>
                <w:sz w:val="20"/>
                <w:szCs w:val="20"/>
              </w:rPr>
              <w:t>Undertake Social Audit and Support their activities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5C88A279">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00CDEAA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20,000.00</w:t>
            </w:r>
          </w:p>
        </w:tc>
        <w:tc>
          <w:tcPr>
            <w:tcW w:w="1251" w:type="dxa"/>
            <w:tcBorders>
              <w:top w:val="single" w:color="auto" w:sz="4" w:space="0"/>
              <w:left w:val="single" w:color="auto" w:sz="4" w:space="0"/>
              <w:bottom w:val="single" w:color="auto" w:sz="4" w:space="0"/>
              <w:right w:val="single" w:color="auto" w:sz="4" w:space="0"/>
            </w:tcBorders>
            <w:vAlign w:val="center"/>
          </w:tcPr>
          <w:p w14:paraId="76AEE0D3">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2DF403A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53CEC9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0D4C5AC9">
            <w:pPr>
              <w:spacing w:after="0" w:line="240" w:lineRule="auto"/>
              <w:jc w:val="center"/>
              <w:rPr>
                <w:rFonts w:ascii="Times New Roman" w:hAnsi="Times New Roman" w:cs="Times New Roman" w:eastAsiaTheme="majorEastAsia"/>
                <w:bCs/>
                <w:sz w:val="20"/>
                <w:szCs w:val="20"/>
              </w:rPr>
            </w:pPr>
            <w:r>
              <w:rPr>
                <w:rFonts w:ascii="Times New Roman" w:hAnsi="Times New Roman" w:cs="Times New Roman" w:eastAsiaTheme="majorEastAsia"/>
                <w:bCs/>
                <w:sz w:val="20"/>
                <w:szCs w:val="20"/>
              </w:rPr>
              <w:t>2,000.00</w:t>
            </w:r>
          </w:p>
        </w:tc>
        <w:tc>
          <w:tcPr>
            <w:tcW w:w="1276" w:type="dxa"/>
            <w:tcBorders>
              <w:top w:val="single" w:color="auto" w:sz="4" w:space="0"/>
              <w:left w:val="single" w:color="auto" w:sz="4" w:space="0"/>
              <w:bottom w:val="single" w:color="auto" w:sz="4" w:space="0"/>
              <w:right w:val="single" w:color="auto" w:sz="4" w:space="0"/>
            </w:tcBorders>
            <w:vAlign w:val="center"/>
          </w:tcPr>
          <w:p w14:paraId="454377E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85BE3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834D9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914400" cy="685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948621" cy="711466"/>
                          </a:xfrm>
                          <a:prstGeom prst="rect">
                            <a:avLst/>
                          </a:prstGeom>
                          <a:noFill/>
                        </pic:spPr>
                      </pic:pic>
                    </a:graphicData>
                  </a:graphic>
                </wp:inline>
              </w:drawing>
            </w: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E9A6803">
            <w:pPr>
              <w:spacing w:after="0" w:line="240" w:lineRule="auto"/>
              <w:jc w:val="center"/>
              <w:rPr>
                <w:rFonts w:ascii="Times New Roman" w:hAnsi="Times New Roman" w:cs="Times New Roman"/>
                <w:sz w:val="20"/>
                <w:szCs w:val="20"/>
              </w:rPr>
            </w:pPr>
            <w:r>
              <w:rPr>
                <w:rFonts w:ascii="Times New Roman" w:hAnsi="Times New Roman" w:cs="Times New Roman"/>
                <w:sz w:val="20"/>
                <w:szCs w:val="20"/>
                <w:highlight w:val="yellow"/>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34953D64">
            <w:pPr>
              <w:spacing w:line="240" w:lineRule="auto"/>
              <w:jc w:val="both"/>
              <w:rPr>
                <w:rFonts w:ascii="Times New Roman" w:hAnsi="Times New Roman" w:cs="Times New Roman"/>
                <w:sz w:val="20"/>
                <w:szCs w:val="20"/>
                <w:lang w:val="en-GB" w:eastAsia="en-GB"/>
              </w:rPr>
            </w:pPr>
          </w:p>
        </w:tc>
      </w:tr>
      <w:tr w14:paraId="5274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F71EE9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0DA2BA3">
            <w:pPr>
              <w:spacing w:line="240" w:lineRule="auto"/>
              <w:rPr>
                <w:rFonts w:ascii="Times New Roman" w:hAnsi="Times New Roman" w:cs="Times New Roman"/>
                <w:sz w:val="20"/>
                <w:szCs w:val="20"/>
              </w:rPr>
            </w:pPr>
            <w:r>
              <w:rPr>
                <w:rFonts w:ascii="Times New Roman" w:hAnsi="Times New Roman" w:cs="Times New Roman"/>
                <w:sz w:val="20"/>
                <w:szCs w:val="20"/>
              </w:rPr>
              <w:t>Support to NACAP activities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CC8C276">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6CD9162F">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100,000.00</w:t>
            </w:r>
          </w:p>
        </w:tc>
        <w:tc>
          <w:tcPr>
            <w:tcW w:w="1251" w:type="dxa"/>
            <w:tcBorders>
              <w:top w:val="single" w:color="auto" w:sz="4" w:space="0"/>
              <w:left w:val="single" w:color="auto" w:sz="4" w:space="0"/>
              <w:bottom w:val="single" w:color="auto" w:sz="4" w:space="0"/>
              <w:right w:val="single" w:color="auto" w:sz="4" w:space="0"/>
            </w:tcBorders>
            <w:vAlign w:val="center"/>
          </w:tcPr>
          <w:p w14:paraId="5F3509E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10C8B98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F816F9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3A3CD80">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100,000.00</w:t>
            </w:r>
          </w:p>
        </w:tc>
        <w:tc>
          <w:tcPr>
            <w:tcW w:w="1276" w:type="dxa"/>
            <w:tcBorders>
              <w:top w:val="single" w:color="auto" w:sz="4" w:space="0"/>
              <w:left w:val="single" w:color="auto" w:sz="4" w:space="0"/>
              <w:bottom w:val="single" w:color="auto" w:sz="4" w:space="0"/>
              <w:right w:val="single" w:color="auto" w:sz="4" w:space="0"/>
            </w:tcBorders>
            <w:vAlign w:val="center"/>
          </w:tcPr>
          <w:p w14:paraId="5E0F7DE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35D7E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4C04E37">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08550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758034C0">
            <w:pPr>
              <w:spacing w:line="240" w:lineRule="auto"/>
              <w:jc w:val="both"/>
              <w:rPr>
                <w:rFonts w:ascii="Times New Roman" w:hAnsi="Times New Roman" w:cs="Times New Roman"/>
                <w:sz w:val="20"/>
                <w:szCs w:val="20"/>
                <w:lang w:val="en-GB" w:eastAsia="en-GB"/>
              </w:rPr>
            </w:pPr>
          </w:p>
        </w:tc>
      </w:tr>
      <w:tr w14:paraId="134C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CE5D2A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7CE9014">
            <w:pPr>
              <w:spacing w:line="240" w:lineRule="auto"/>
              <w:rPr>
                <w:rFonts w:ascii="Times New Roman" w:hAnsi="Times New Roman" w:cs="Times New Roman"/>
                <w:sz w:val="20"/>
                <w:szCs w:val="20"/>
              </w:rPr>
            </w:pPr>
            <w:r>
              <w:rPr>
                <w:rFonts w:ascii="Times New Roman" w:hAnsi="Times New Roman" w:cs="Times New Roman"/>
                <w:sz w:val="20"/>
                <w:szCs w:val="20"/>
              </w:rPr>
              <w:t>Organize Mid-Year review on 2026 Annual Action Plan and Budget By July 2026.</w:t>
            </w:r>
          </w:p>
        </w:tc>
        <w:tc>
          <w:tcPr>
            <w:tcW w:w="1420" w:type="dxa"/>
            <w:tcBorders>
              <w:top w:val="single" w:color="auto" w:sz="4" w:space="0"/>
              <w:left w:val="single" w:color="auto" w:sz="4" w:space="0"/>
              <w:bottom w:val="single" w:color="auto" w:sz="4" w:space="0"/>
              <w:right w:val="single" w:color="auto" w:sz="4" w:space="0"/>
            </w:tcBorders>
            <w:vAlign w:val="center"/>
          </w:tcPr>
          <w:p w14:paraId="4A7A3970">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4DFA665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60,000.00</w:t>
            </w:r>
          </w:p>
        </w:tc>
        <w:tc>
          <w:tcPr>
            <w:tcW w:w="1251" w:type="dxa"/>
            <w:tcBorders>
              <w:top w:val="single" w:color="auto" w:sz="4" w:space="0"/>
              <w:left w:val="single" w:color="auto" w:sz="4" w:space="0"/>
              <w:bottom w:val="single" w:color="auto" w:sz="4" w:space="0"/>
              <w:right w:val="single" w:color="auto" w:sz="4" w:space="0"/>
            </w:tcBorders>
            <w:vAlign w:val="center"/>
          </w:tcPr>
          <w:p w14:paraId="1A35CE1C">
            <w:pPr>
              <w:spacing w:line="240" w:lineRule="auto"/>
              <w:jc w:val="center"/>
              <w:rPr>
                <w:rFonts w:ascii="Times New Roman" w:hAnsi="Times New Roman" w:cs="Times New Roman"/>
                <w:sz w:val="2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1D30D73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5BD716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FB3A7F8">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60,000.00</w:t>
            </w:r>
          </w:p>
        </w:tc>
        <w:tc>
          <w:tcPr>
            <w:tcW w:w="1276" w:type="dxa"/>
            <w:tcBorders>
              <w:top w:val="single" w:color="auto" w:sz="4" w:space="0"/>
              <w:left w:val="single" w:color="auto" w:sz="4" w:space="0"/>
              <w:bottom w:val="single" w:color="auto" w:sz="4" w:space="0"/>
              <w:right w:val="single" w:color="auto" w:sz="4" w:space="0"/>
            </w:tcBorders>
            <w:vAlign w:val="center"/>
          </w:tcPr>
          <w:p w14:paraId="2A3FE089">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F95C2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5F650D04">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42B12E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224D874D">
            <w:pPr>
              <w:spacing w:line="240" w:lineRule="auto"/>
              <w:jc w:val="both"/>
              <w:rPr>
                <w:rFonts w:ascii="Times New Roman" w:hAnsi="Times New Roman" w:cs="Times New Roman"/>
                <w:sz w:val="20"/>
                <w:szCs w:val="20"/>
                <w:lang w:val="en-GB" w:eastAsia="en-GB"/>
              </w:rPr>
            </w:pPr>
          </w:p>
        </w:tc>
      </w:tr>
      <w:tr w14:paraId="4C43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706776BD">
            <w:pPr>
              <w:spacing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BUDGETING</w:t>
            </w:r>
          </w:p>
        </w:tc>
      </w:tr>
      <w:tr w14:paraId="5E54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49125BE5">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05C2FC3">
            <w:pPr>
              <w:spacing w:line="240" w:lineRule="auto"/>
              <w:rPr>
                <w:rFonts w:ascii="Times New Roman" w:hAnsi="Times New Roman" w:cs="Times New Roman"/>
                <w:sz w:val="20"/>
                <w:szCs w:val="20"/>
              </w:rPr>
            </w:pPr>
            <w:r>
              <w:rPr>
                <w:rFonts w:ascii="Times New Roman" w:hAnsi="Times New Roman" w:cs="Times New Roman"/>
                <w:sz w:val="20"/>
                <w:szCs w:val="20"/>
              </w:rPr>
              <w:t>Preparation of Composite budget, fee fixing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4BA1484C">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055F5A23">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80,000.00</w:t>
            </w:r>
          </w:p>
        </w:tc>
        <w:tc>
          <w:tcPr>
            <w:tcW w:w="1251" w:type="dxa"/>
            <w:tcBorders>
              <w:top w:val="single" w:color="auto" w:sz="4" w:space="0"/>
              <w:left w:val="single" w:color="auto" w:sz="4" w:space="0"/>
              <w:bottom w:val="single" w:color="auto" w:sz="4" w:space="0"/>
              <w:right w:val="single" w:color="auto" w:sz="4" w:space="0"/>
            </w:tcBorders>
            <w:vAlign w:val="center"/>
          </w:tcPr>
          <w:p w14:paraId="3611B1FA">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5FE5A5AD">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0811C03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2C085DD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70,440.00</w:t>
            </w:r>
          </w:p>
        </w:tc>
        <w:tc>
          <w:tcPr>
            <w:tcW w:w="1276" w:type="dxa"/>
            <w:tcBorders>
              <w:top w:val="single" w:color="auto" w:sz="4" w:space="0"/>
              <w:left w:val="single" w:color="auto" w:sz="4" w:space="0"/>
              <w:bottom w:val="single" w:color="auto" w:sz="4" w:space="0"/>
              <w:right w:val="single" w:color="auto" w:sz="4" w:space="0"/>
            </w:tcBorders>
            <w:vAlign w:val="center"/>
          </w:tcPr>
          <w:p w14:paraId="5805DD99">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70,440.00</w:t>
            </w:r>
          </w:p>
        </w:tc>
        <w:tc>
          <w:tcPr>
            <w:tcW w:w="757" w:type="dxa"/>
            <w:tcBorders>
              <w:top w:val="single" w:color="auto" w:sz="4" w:space="0"/>
              <w:left w:val="single" w:color="auto" w:sz="4" w:space="0"/>
              <w:bottom w:val="single" w:color="auto" w:sz="4" w:space="0"/>
              <w:right w:val="single" w:color="auto" w:sz="4" w:space="0"/>
            </w:tcBorders>
            <w:vAlign w:val="center"/>
          </w:tcPr>
          <w:p w14:paraId="741309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952FD74">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EE0000"/>
            <w:vAlign w:val="center"/>
          </w:tcPr>
          <w:p w14:paraId="1FD20E5B">
            <w:pPr>
              <w:spacing w:after="0" w:line="240" w:lineRule="auto"/>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87D69E9">
            <w:pPr>
              <w:spacing w:line="240" w:lineRule="auto"/>
              <w:jc w:val="both"/>
              <w:rPr>
                <w:rFonts w:ascii="Times New Roman" w:hAnsi="Times New Roman" w:cs="Times New Roman"/>
                <w:sz w:val="20"/>
                <w:szCs w:val="20"/>
                <w:lang w:val="en-GB" w:eastAsia="en-GB"/>
              </w:rPr>
            </w:pPr>
          </w:p>
        </w:tc>
      </w:tr>
      <w:tr w14:paraId="5C8E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D066F4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AE76B2D">
            <w:pPr>
              <w:spacing w:line="240" w:lineRule="auto"/>
              <w:rPr>
                <w:rFonts w:ascii="Times New Roman" w:hAnsi="Times New Roman" w:cs="Times New Roman"/>
                <w:sz w:val="20"/>
                <w:szCs w:val="20"/>
              </w:rPr>
            </w:pPr>
            <w:r>
              <w:rPr>
                <w:rFonts w:ascii="Times New Roman" w:hAnsi="Times New Roman" w:cs="Times New Roman"/>
                <w:sz w:val="20"/>
                <w:szCs w:val="20"/>
              </w:rPr>
              <w:t>Prepare  2027 Revenue Improvement Action Plan.</w:t>
            </w:r>
          </w:p>
        </w:tc>
        <w:tc>
          <w:tcPr>
            <w:tcW w:w="1420" w:type="dxa"/>
            <w:tcBorders>
              <w:top w:val="single" w:color="auto" w:sz="4" w:space="0"/>
              <w:left w:val="single" w:color="auto" w:sz="4" w:space="0"/>
              <w:bottom w:val="single" w:color="auto" w:sz="4" w:space="0"/>
              <w:right w:val="single" w:color="auto" w:sz="4" w:space="0"/>
            </w:tcBorders>
            <w:vAlign w:val="center"/>
          </w:tcPr>
          <w:p w14:paraId="1B0797B5">
            <w:pPr>
              <w:spacing w:line="240" w:lineRule="auto"/>
              <w:rPr>
                <w:rFonts w:ascii="Times New Roman" w:hAnsi="Times New Roman" w:cs="Times New Roman"/>
                <w:sz w:val="20"/>
                <w:szCs w:val="20"/>
              </w:rPr>
            </w:pPr>
            <w:r>
              <w:rPr>
                <w:rFonts w:ascii="Times New Roman" w:hAnsi="Times New Roman" w:cs="Times New Roman"/>
                <w:sz w:val="20"/>
                <w:szCs w:val="20"/>
              </w:rPr>
              <w:t>Implementation, Co-ordinating  Monitoring &amp; Evaluation</w:t>
            </w:r>
          </w:p>
        </w:tc>
        <w:tc>
          <w:tcPr>
            <w:tcW w:w="1157" w:type="dxa"/>
            <w:tcBorders>
              <w:top w:val="single" w:color="auto" w:sz="4" w:space="0"/>
              <w:left w:val="single" w:color="auto" w:sz="4" w:space="0"/>
              <w:bottom w:val="single" w:color="auto" w:sz="4" w:space="0"/>
              <w:right w:val="single" w:color="auto" w:sz="4" w:space="0"/>
            </w:tcBorders>
            <w:vAlign w:val="center"/>
          </w:tcPr>
          <w:p w14:paraId="0D53C60F">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61E1F5FA">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34A6716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05A5B3B">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56AD13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29,600.00</w:t>
            </w:r>
          </w:p>
        </w:tc>
        <w:tc>
          <w:tcPr>
            <w:tcW w:w="1276" w:type="dxa"/>
            <w:tcBorders>
              <w:top w:val="single" w:color="auto" w:sz="4" w:space="0"/>
              <w:left w:val="single" w:color="auto" w:sz="4" w:space="0"/>
              <w:bottom w:val="single" w:color="auto" w:sz="4" w:space="0"/>
              <w:right w:val="single" w:color="auto" w:sz="4" w:space="0"/>
            </w:tcBorders>
            <w:vAlign w:val="center"/>
          </w:tcPr>
          <w:p w14:paraId="7DE8B1F2">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29,600.00</w:t>
            </w:r>
          </w:p>
        </w:tc>
        <w:tc>
          <w:tcPr>
            <w:tcW w:w="757" w:type="dxa"/>
            <w:tcBorders>
              <w:top w:val="single" w:color="auto" w:sz="4" w:space="0"/>
              <w:left w:val="single" w:color="auto" w:sz="4" w:space="0"/>
              <w:bottom w:val="single" w:color="auto" w:sz="4" w:space="0"/>
              <w:right w:val="single" w:color="auto" w:sz="4" w:space="0"/>
            </w:tcBorders>
            <w:vAlign w:val="center"/>
          </w:tcPr>
          <w:p w14:paraId="62FF8C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0D0E4B0">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EE0000"/>
            <w:vAlign w:val="center"/>
          </w:tcPr>
          <w:p w14:paraId="68E1E371">
            <w:pPr>
              <w:spacing w:after="0" w:line="240" w:lineRule="auto"/>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3CDF4609">
            <w:pPr>
              <w:spacing w:line="240" w:lineRule="auto"/>
              <w:jc w:val="both"/>
              <w:rPr>
                <w:rFonts w:ascii="Times New Roman" w:hAnsi="Times New Roman" w:cs="Times New Roman"/>
                <w:sz w:val="20"/>
                <w:szCs w:val="20"/>
                <w:lang w:val="en-GB" w:eastAsia="en-GB"/>
              </w:rPr>
            </w:pPr>
          </w:p>
        </w:tc>
      </w:tr>
      <w:tr w14:paraId="3FE6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66AAC223">
            <w:pPr>
              <w:spacing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STATISTICS</w:t>
            </w:r>
          </w:p>
        </w:tc>
      </w:tr>
      <w:tr w14:paraId="73CB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BED1F1F">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2CFB0DF">
            <w:pPr>
              <w:spacing w:line="240" w:lineRule="auto"/>
              <w:rPr>
                <w:rFonts w:ascii="Times New Roman" w:hAnsi="Times New Roman" w:cs="Times New Roman"/>
                <w:sz w:val="20"/>
                <w:szCs w:val="20"/>
              </w:rPr>
            </w:pPr>
            <w:r>
              <w:rPr>
                <w:rFonts w:ascii="Times New Roman" w:hAnsi="Times New Roman" w:cs="Times New Roman"/>
                <w:sz w:val="20"/>
                <w:szCs w:val="20"/>
              </w:rPr>
              <w:t>Update and extend the scope of data hub in BNDA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4C10EDD">
            <w:pPr>
              <w:spacing w:line="240" w:lineRule="auto"/>
              <w:rPr>
                <w:rFonts w:ascii="Times New Roman" w:hAnsi="Times New Roman" w:cs="Times New Roman"/>
                <w:sz w:val="20"/>
                <w:szCs w:val="20"/>
              </w:rPr>
            </w:pPr>
            <w:r>
              <w:rPr>
                <w:rFonts w:ascii="Times New Roman" w:hAnsi="Times New Roman" w:eastAsia="Calibri" w:cs="Times New Roman"/>
                <w:sz w:val="20"/>
                <w:szCs w:val="20"/>
              </w:rPr>
              <w:t>Statistics, Planning, and Budgeting</w:t>
            </w:r>
          </w:p>
        </w:tc>
        <w:tc>
          <w:tcPr>
            <w:tcW w:w="1157" w:type="dxa"/>
            <w:tcBorders>
              <w:top w:val="single" w:color="auto" w:sz="4" w:space="0"/>
              <w:left w:val="single" w:color="auto" w:sz="4" w:space="0"/>
              <w:bottom w:val="single" w:color="auto" w:sz="4" w:space="0"/>
              <w:right w:val="single" w:color="auto" w:sz="4" w:space="0"/>
            </w:tcBorders>
            <w:vAlign w:val="center"/>
          </w:tcPr>
          <w:p w14:paraId="4D64026F">
            <w:pPr>
              <w:spacing w:before="100" w:beforeAutospacing="1" w:line="240" w:lineRule="auto"/>
              <w:jc w:val="center"/>
              <w:rPr>
                <w:rFonts w:ascii="Times New Roman" w:hAnsi="Times New Roman" w:cs="Times New Roman"/>
                <w:sz w:val="20"/>
                <w:szCs w:val="20"/>
              </w:rPr>
            </w:pPr>
            <w:r>
              <w:rPr>
                <w:rFonts w:ascii="Times New Roman" w:hAnsi="Times New Roman" w:eastAsia="Calibri" w:cs="Times New Roman"/>
                <w:sz w:val="20"/>
                <w:szCs w:val="20"/>
              </w:rPr>
              <w:t>10,074.00</w:t>
            </w:r>
          </w:p>
        </w:tc>
        <w:tc>
          <w:tcPr>
            <w:tcW w:w="1251" w:type="dxa"/>
            <w:tcBorders>
              <w:top w:val="single" w:color="auto" w:sz="4" w:space="0"/>
              <w:left w:val="single" w:color="auto" w:sz="4" w:space="0"/>
              <w:bottom w:val="single" w:color="auto" w:sz="4" w:space="0"/>
              <w:right w:val="single" w:color="auto" w:sz="4" w:space="0"/>
            </w:tcBorders>
            <w:vAlign w:val="center"/>
          </w:tcPr>
          <w:p w14:paraId="10BE477A">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6EC8BD0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609A298">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AAF7942">
            <w:pPr>
              <w:spacing w:before="100" w:beforeAutospacing="1" w:line="240" w:lineRule="auto"/>
              <w:jc w:val="center"/>
              <w:rPr>
                <w:rFonts w:ascii="Times New Roman" w:hAnsi="Times New Roman" w:cs="Times New Roman"/>
                <w:sz w:val="20"/>
                <w:szCs w:val="20"/>
              </w:rPr>
            </w:pPr>
            <w:r>
              <w:rPr>
                <w:rFonts w:ascii="Times New Roman" w:hAnsi="Times New Roman" w:eastAsia="Calibri" w:cs="Times New Roman"/>
                <w:sz w:val="20"/>
                <w:szCs w:val="20"/>
              </w:rPr>
              <w:t>10,074.00</w:t>
            </w:r>
          </w:p>
        </w:tc>
        <w:tc>
          <w:tcPr>
            <w:tcW w:w="1276" w:type="dxa"/>
            <w:tcBorders>
              <w:top w:val="single" w:color="auto" w:sz="4" w:space="0"/>
              <w:left w:val="single" w:color="auto" w:sz="4" w:space="0"/>
              <w:bottom w:val="single" w:color="auto" w:sz="4" w:space="0"/>
              <w:right w:val="single" w:color="auto" w:sz="4" w:space="0"/>
            </w:tcBorders>
            <w:vAlign w:val="center"/>
          </w:tcPr>
          <w:p w14:paraId="18CBC33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5C0D51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05F3D608">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0000"/>
            <w:vAlign w:val="center"/>
          </w:tcPr>
          <w:p w14:paraId="76669E1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Yet to Start</w:t>
            </w:r>
          </w:p>
        </w:tc>
        <w:tc>
          <w:tcPr>
            <w:tcW w:w="990" w:type="dxa"/>
            <w:tcBorders>
              <w:top w:val="single" w:color="auto" w:sz="4" w:space="0"/>
              <w:left w:val="single" w:color="auto" w:sz="4" w:space="0"/>
              <w:bottom w:val="single" w:color="auto" w:sz="4" w:space="0"/>
              <w:right w:val="single" w:color="auto" w:sz="4" w:space="0"/>
            </w:tcBorders>
            <w:vAlign w:val="center"/>
          </w:tcPr>
          <w:p w14:paraId="59CBA023">
            <w:pPr>
              <w:spacing w:line="240" w:lineRule="auto"/>
              <w:jc w:val="both"/>
              <w:rPr>
                <w:rFonts w:ascii="Times New Roman" w:hAnsi="Times New Roman" w:cs="Times New Roman"/>
                <w:sz w:val="20"/>
                <w:szCs w:val="20"/>
                <w:lang w:val="en-GB" w:eastAsia="en-GB"/>
              </w:rPr>
            </w:pPr>
          </w:p>
        </w:tc>
      </w:tr>
      <w:tr w14:paraId="75F2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565C703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334A19A4">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Undertake monthly market reading on selected goods and services from designated markets Centers for the computation of CPI, PPI, and PI by GSS by the end of Dec. 2026.      </w:t>
            </w:r>
          </w:p>
        </w:tc>
        <w:tc>
          <w:tcPr>
            <w:tcW w:w="1420" w:type="dxa"/>
            <w:tcBorders>
              <w:top w:val="single" w:color="auto" w:sz="4" w:space="0"/>
              <w:left w:val="single" w:color="auto" w:sz="4" w:space="0"/>
              <w:bottom w:val="single" w:color="auto" w:sz="4" w:space="0"/>
              <w:right w:val="single" w:color="auto" w:sz="4" w:space="0"/>
            </w:tcBorders>
            <w:vAlign w:val="center"/>
          </w:tcPr>
          <w:p w14:paraId="3CC687BD">
            <w:pPr>
              <w:spacing w:line="240" w:lineRule="auto"/>
              <w:rPr>
                <w:rFonts w:ascii="Times New Roman" w:hAnsi="Times New Roman" w:cs="Times New Roman"/>
                <w:sz w:val="20"/>
                <w:szCs w:val="20"/>
              </w:rPr>
            </w:pPr>
            <w:r>
              <w:rPr>
                <w:rFonts w:ascii="Times New Roman" w:hAnsi="Times New Roman" w:eastAsia="Calibri" w:cs="Times New Roman"/>
                <w:sz w:val="20"/>
                <w:szCs w:val="20"/>
              </w:rPr>
              <w:t>Statistics, Planning, and Budgeting</w:t>
            </w:r>
          </w:p>
        </w:tc>
        <w:tc>
          <w:tcPr>
            <w:tcW w:w="1157" w:type="dxa"/>
            <w:tcBorders>
              <w:top w:val="single" w:color="auto" w:sz="4" w:space="0"/>
              <w:left w:val="single" w:color="auto" w:sz="4" w:space="0"/>
              <w:bottom w:val="single" w:color="auto" w:sz="4" w:space="0"/>
              <w:right w:val="single" w:color="auto" w:sz="4" w:space="0"/>
            </w:tcBorders>
            <w:vAlign w:val="center"/>
          </w:tcPr>
          <w:p w14:paraId="27522B5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51" w:type="dxa"/>
            <w:tcBorders>
              <w:top w:val="single" w:color="auto" w:sz="4" w:space="0"/>
              <w:left w:val="single" w:color="auto" w:sz="4" w:space="0"/>
              <w:bottom w:val="single" w:color="auto" w:sz="4" w:space="0"/>
              <w:right w:val="single" w:color="auto" w:sz="4" w:space="0"/>
            </w:tcBorders>
            <w:vAlign w:val="center"/>
          </w:tcPr>
          <w:p w14:paraId="16565020">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084C9E1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E599040">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4CFFD46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30,000.00</w:t>
            </w:r>
          </w:p>
        </w:tc>
        <w:tc>
          <w:tcPr>
            <w:tcW w:w="1276" w:type="dxa"/>
            <w:tcBorders>
              <w:top w:val="single" w:color="auto" w:sz="4" w:space="0"/>
              <w:left w:val="single" w:color="auto" w:sz="4" w:space="0"/>
              <w:bottom w:val="single" w:color="auto" w:sz="4" w:space="0"/>
              <w:right w:val="single" w:color="auto" w:sz="4" w:space="0"/>
            </w:tcBorders>
            <w:vAlign w:val="center"/>
          </w:tcPr>
          <w:p w14:paraId="0D84FFBD">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4253BA98">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212A3742">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B9690E0">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0A40E088">
            <w:pPr>
              <w:spacing w:line="240" w:lineRule="auto"/>
              <w:jc w:val="both"/>
              <w:rPr>
                <w:rFonts w:ascii="Times New Roman" w:hAnsi="Times New Roman" w:cs="Times New Roman"/>
                <w:sz w:val="20"/>
                <w:szCs w:val="20"/>
                <w:lang w:val="en-GB" w:eastAsia="en-GB"/>
              </w:rPr>
            </w:pPr>
          </w:p>
        </w:tc>
      </w:tr>
      <w:tr w14:paraId="43F6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72E5037A">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56C34A8B">
            <w:pPr>
              <w:spacing w:line="240" w:lineRule="auto"/>
              <w:jc w:val="both"/>
              <w:rPr>
                <w:rFonts w:ascii="Times New Roman" w:hAnsi="Times New Roman" w:cs="Times New Roman"/>
                <w:sz w:val="20"/>
                <w:szCs w:val="20"/>
              </w:rPr>
            </w:pPr>
            <w:r>
              <w:rPr>
                <w:rFonts w:ascii="Times New Roman" w:hAnsi="Times New Roman" w:cs="Times New Roman"/>
                <w:sz w:val="20"/>
                <w:szCs w:val="20"/>
              </w:rPr>
              <w:t>Collect Compile and analyzed administrative data / Conduct data validation and data cleaning on administrative data collected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D0F8DA4">
            <w:pPr>
              <w:spacing w:line="240" w:lineRule="auto"/>
              <w:rPr>
                <w:rFonts w:ascii="Times New Roman" w:hAnsi="Times New Roman" w:cs="Times New Roman"/>
                <w:sz w:val="20"/>
                <w:szCs w:val="20"/>
              </w:rPr>
            </w:pPr>
            <w:r>
              <w:rPr>
                <w:rFonts w:ascii="Times New Roman" w:hAnsi="Times New Roman" w:eastAsia="Calibri" w:cs="Times New Roman"/>
                <w:sz w:val="20"/>
                <w:szCs w:val="20"/>
              </w:rPr>
              <w:t>Statistics, Planning, and Budgeting</w:t>
            </w:r>
          </w:p>
        </w:tc>
        <w:tc>
          <w:tcPr>
            <w:tcW w:w="1157" w:type="dxa"/>
            <w:tcBorders>
              <w:top w:val="single" w:color="auto" w:sz="4" w:space="0"/>
              <w:left w:val="single" w:color="auto" w:sz="4" w:space="0"/>
              <w:bottom w:val="single" w:color="auto" w:sz="4" w:space="0"/>
              <w:right w:val="single" w:color="auto" w:sz="4" w:space="0"/>
            </w:tcBorders>
            <w:vAlign w:val="center"/>
          </w:tcPr>
          <w:p w14:paraId="78B9899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00DF7A56">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1864F60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7440557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31CC96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6266878C">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26AE2A0">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2984C2A8">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52C7927">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630AA00">
            <w:pPr>
              <w:spacing w:line="240" w:lineRule="auto"/>
              <w:jc w:val="both"/>
              <w:rPr>
                <w:rFonts w:ascii="Times New Roman" w:hAnsi="Times New Roman" w:cs="Times New Roman"/>
                <w:sz w:val="20"/>
                <w:szCs w:val="20"/>
                <w:lang w:val="en-GB" w:eastAsia="en-GB"/>
              </w:rPr>
            </w:pPr>
          </w:p>
        </w:tc>
      </w:tr>
      <w:tr w14:paraId="025C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6CD2B33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6A32567D">
            <w:pPr>
              <w:spacing w:line="240" w:lineRule="auto"/>
              <w:jc w:val="both"/>
              <w:rPr>
                <w:rFonts w:ascii="Times New Roman" w:hAnsi="Times New Roman" w:cs="Times New Roman"/>
                <w:sz w:val="20"/>
                <w:szCs w:val="20"/>
              </w:rPr>
            </w:pPr>
            <w:r>
              <w:rPr>
                <w:rFonts w:ascii="Times New Roman" w:hAnsi="Times New Roman" w:cs="Times New Roman"/>
                <w:sz w:val="20"/>
                <w:szCs w:val="20"/>
              </w:rPr>
              <w:t>Collect and Compile data from departments and units to be uploaded to the District Data Development Platform (DDDP)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282CF006">
            <w:pPr>
              <w:spacing w:line="240" w:lineRule="auto"/>
              <w:rPr>
                <w:rFonts w:ascii="Times New Roman" w:hAnsi="Times New Roman" w:cs="Times New Roman"/>
                <w:sz w:val="20"/>
                <w:szCs w:val="20"/>
              </w:rPr>
            </w:pPr>
            <w:r>
              <w:rPr>
                <w:rFonts w:ascii="Times New Roman" w:hAnsi="Times New Roman" w:eastAsia="Calibri" w:cs="Times New Roman"/>
                <w:sz w:val="20"/>
                <w:szCs w:val="20"/>
              </w:rPr>
              <w:t>Statistics, Planning, and Budgeting</w:t>
            </w:r>
          </w:p>
        </w:tc>
        <w:tc>
          <w:tcPr>
            <w:tcW w:w="1157" w:type="dxa"/>
            <w:tcBorders>
              <w:top w:val="single" w:color="auto" w:sz="4" w:space="0"/>
              <w:left w:val="single" w:color="auto" w:sz="4" w:space="0"/>
              <w:bottom w:val="single" w:color="auto" w:sz="4" w:space="0"/>
              <w:right w:val="single" w:color="auto" w:sz="4" w:space="0"/>
            </w:tcBorders>
            <w:vAlign w:val="center"/>
          </w:tcPr>
          <w:p w14:paraId="5F00DE42">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51" w:type="dxa"/>
            <w:tcBorders>
              <w:top w:val="single" w:color="auto" w:sz="4" w:space="0"/>
              <w:left w:val="single" w:color="auto" w:sz="4" w:space="0"/>
              <w:bottom w:val="single" w:color="auto" w:sz="4" w:space="0"/>
              <w:right w:val="single" w:color="auto" w:sz="4" w:space="0"/>
            </w:tcBorders>
            <w:vAlign w:val="center"/>
          </w:tcPr>
          <w:p w14:paraId="3F5B8024">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344FA9B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F2E93A4">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68E2E353">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5,000.00</w:t>
            </w:r>
          </w:p>
        </w:tc>
        <w:tc>
          <w:tcPr>
            <w:tcW w:w="1276" w:type="dxa"/>
            <w:tcBorders>
              <w:top w:val="single" w:color="auto" w:sz="4" w:space="0"/>
              <w:left w:val="single" w:color="auto" w:sz="4" w:space="0"/>
              <w:bottom w:val="single" w:color="auto" w:sz="4" w:space="0"/>
              <w:right w:val="single" w:color="auto" w:sz="4" w:space="0"/>
            </w:tcBorders>
            <w:vAlign w:val="center"/>
          </w:tcPr>
          <w:p w14:paraId="6337E4F5">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725763DE">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1D9F25D3">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7D7AD1F6">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6BD5C10D">
            <w:pPr>
              <w:spacing w:line="240" w:lineRule="auto"/>
              <w:jc w:val="both"/>
              <w:rPr>
                <w:rFonts w:ascii="Times New Roman" w:hAnsi="Times New Roman" w:cs="Times New Roman"/>
                <w:sz w:val="20"/>
                <w:szCs w:val="20"/>
                <w:lang w:val="en-GB" w:eastAsia="en-GB"/>
              </w:rPr>
            </w:pPr>
          </w:p>
        </w:tc>
      </w:tr>
      <w:tr w14:paraId="571A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F3DDB78">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3195693">
            <w:pPr>
              <w:spacing w:line="240" w:lineRule="auto"/>
              <w:rPr>
                <w:rFonts w:ascii="Times New Roman" w:hAnsi="Times New Roman" w:cs="Times New Roman"/>
                <w:sz w:val="20"/>
                <w:szCs w:val="20"/>
              </w:rPr>
            </w:pPr>
            <w:r>
              <w:rPr>
                <w:rFonts w:ascii="Times New Roman" w:hAnsi="Times New Roman" w:cs="Times New Roman"/>
                <w:sz w:val="20"/>
                <w:szCs w:val="20"/>
              </w:rPr>
              <w:t>Conduct Field Surveys and other relevant field work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1E1B16ED">
            <w:pPr>
              <w:spacing w:line="240" w:lineRule="auto"/>
              <w:rPr>
                <w:rFonts w:ascii="Times New Roman" w:hAnsi="Times New Roman" w:cs="Times New Roman"/>
                <w:sz w:val="20"/>
                <w:szCs w:val="20"/>
              </w:rPr>
            </w:pPr>
            <w:r>
              <w:rPr>
                <w:rFonts w:ascii="Times New Roman" w:hAnsi="Times New Roman" w:eastAsia="Calibri" w:cs="Times New Roman"/>
                <w:sz w:val="20"/>
                <w:szCs w:val="20"/>
              </w:rPr>
              <w:t>Statistics, Planning, and Budgeting</w:t>
            </w:r>
          </w:p>
        </w:tc>
        <w:tc>
          <w:tcPr>
            <w:tcW w:w="1157" w:type="dxa"/>
            <w:tcBorders>
              <w:top w:val="single" w:color="auto" w:sz="4" w:space="0"/>
              <w:left w:val="single" w:color="auto" w:sz="4" w:space="0"/>
              <w:bottom w:val="single" w:color="auto" w:sz="4" w:space="0"/>
              <w:right w:val="single" w:color="auto" w:sz="4" w:space="0"/>
            </w:tcBorders>
            <w:vAlign w:val="center"/>
          </w:tcPr>
          <w:p w14:paraId="104B4D8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1,311.84</w:t>
            </w:r>
          </w:p>
        </w:tc>
        <w:tc>
          <w:tcPr>
            <w:tcW w:w="1251" w:type="dxa"/>
            <w:tcBorders>
              <w:top w:val="single" w:color="auto" w:sz="4" w:space="0"/>
              <w:left w:val="single" w:color="auto" w:sz="4" w:space="0"/>
              <w:bottom w:val="single" w:color="auto" w:sz="4" w:space="0"/>
              <w:right w:val="single" w:color="auto" w:sz="4" w:space="0"/>
            </w:tcBorders>
            <w:vAlign w:val="center"/>
          </w:tcPr>
          <w:p w14:paraId="33EAF0B1">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5720814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50D605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3D3666CA">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1,311.84</w:t>
            </w:r>
          </w:p>
        </w:tc>
        <w:tc>
          <w:tcPr>
            <w:tcW w:w="1276" w:type="dxa"/>
            <w:tcBorders>
              <w:top w:val="single" w:color="auto" w:sz="4" w:space="0"/>
              <w:left w:val="single" w:color="auto" w:sz="4" w:space="0"/>
              <w:bottom w:val="single" w:color="auto" w:sz="4" w:space="0"/>
              <w:right w:val="single" w:color="auto" w:sz="4" w:space="0"/>
            </w:tcBorders>
            <w:vAlign w:val="center"/>
          </w:tcPr>
          <w:p w14:paraId="6B122427">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3201E5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0DBC16F0">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03C89D0E">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23DC77A">
            <w:pPr>
              <w:spacing w:line="240" w:lineRule="auto"/>
              <w:jc w:val="both"/>
              <w:rPr>
                <w:rFonts w:ascii="Times New Roman" w:hAnsi="Times New Roman" w:cs="Times New Roman"/>
                <w:sz w:val="20"/>
                <w:szCs w:val="20"/>
                <w:lang w:val="en-GB" w:eastAsia="en-GB"/>
              </w:rPr>
            </w:pPr>
          </w:p>
        </w:tc>
      </w:tr>
      <w:tr w14:paraId="49E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5886" w:type="dxa"/>
            <w:gridSpan w:val="14"/>
            <w:tcBorders>
              <w:top w:val="single" w:color="auto" w:sz="4" w:space="0"/>
              <w:left w:val="single" w:color="auto" w:sz="4" w:space="0"/>
              <w:bottom w:val="single" w:color="auto" w:sz="4" w:space="0"/>
              <w:right w:val="single" w:color="auto" w:sz="4" w:space="0"/>
            </w:tcBorders>
            <w:shd w:val="clear" w:color="auto" w:fill="FBE4D5"/>
            <w:vAlign w:val="center"/>
          </w:tcPr>
          <w:p w14:paraId="29C6C77E">
            <w:pPr>
              <w:spacing w:line="240" w:lineRule="auto"/>
              <w:jc w:val="center"/>
              <w:rPr>
                <w:rFonts w:ascii="Times New Roman" w:hAnsi="Times New Roman" w:cs="Times New Roman"/>
                <w:b/>
                <w:sz w:val="20"/>
                <w:szCs w:val="20"/>
                <w:lang w:val="en-GB" w:eastAsia="en-GB"/>
              </w:rPr>
            </w:pPr>
            <w:r>
              <w:rPr>
                <w:rFonts w:ascii="Times New Roman" w:hAnsi="Times New Roman" w:cs="Times New Roman"/>
                <w:b/>
                <w:sz w:val="20"/>
                <w:szCs w:val="20"/>
                <w:lang w:val="en-GB" w:eastAsia="en-GB"/>
              </w:rPr>
              <w:t>SECURITY</w:t>
            </w:r>
          </w:p>
        </w:tc>
      </w:tr>
      <w:tr w14:paraId="7217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319E6FE4">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263748E8">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Support security operations in the District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31F4C645">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166724AE">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90,000.00</w:t>
            </w:r>
          </w:p>
        </w:tc>
        <w:tc>
          <w:tcPr>
            <w:tcW w:w="1251" w:type="dxa"/>
            <w:tcBorders>
              <w:top w:val="single" w:color="auto" w:sz="4" w:space="0"/>
              <w:left w:val="single" w:color="auto" w:sz="4" w:space="0"/>
              <w:bottom w:val="single" w:color="auto" w:sz="4" w:space="0"/>
              <w:right w:val="single" w:color="auto" w:sz="4" w:space="0"/>
            </w:tcBorders>
            <w:vAlign w:val="center"/>
          </w:tcPr>
          <w:p w14:paraId="0DF6D200">
            <w:pPr>
              <w:spacing w:line="240" w:lineRule="auto"/>
              <w:jc w:val="center"/>
              <w:rPr>
                <w:rFonts w:ascii="Times New Roman" w:hAnsi="Times New Roman" w:cs="Times New Roman"/>
                <w:sz w:val="20"/>
                <w:szCs w:val="20"/>
              </w:rPr>
            </w:pPr>
            <w:r>
              <w:rPr>
                <w:rFonts w:ascii="Times New Roman" w:hAnsi="Times New Roman" w:cs="Times New Roman"/>
                <w:sz w:val="20"/>
                <w:szCs w:val="20"/>
              </w:rPr>
              <w:t>DACF</w:t>
            </w:r>
          </w:p>
        </w:tc>
        <w:tc>
          <w:tcPr>
            <w:tcW w:w="992" w:type="dxa"/>
            <w:tcBorders>
              <w:top w:val="single" w:color="auto" w:sz="4" w:space="0"/>
              <w:left w:val="single" w:color="auto" w:sz="4" w:space="0"/>
              <w:bottom w:val="single" w:color="auto" w:sz="4" w:space="0"/>
              <w:right w:val="single" w:color="auto" w:sz="4" w:space="0"/>
            </w:tcBorders>
            <w:vAlign w:val="center"/>
          </w:tcPr>
          <w:p w14:paraId="50E2F29C">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2D8235BF">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754A984">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90,000.00</w:t>
            </w:r>
          </w:p>
        </w:tc>
        <w:tc>
          <w:tcPr>
            <w:tcW w:w="1276" w:type="dxa"/>
            <w:tcBorders>
              <w:top w:val="single" w:color="auto" w:sz="4" w:space="0"/>
              <w:left w:val="single" w:color="auto" w:sz="4" w:space="0"/>
              <w:bottom w:val="single" w:color="auto" w:sz="4" w:space="0"/>
              <w:right w:val="single" w:color="auto" w:sz="4" w:space="0"/>
            </w:tcBorders>
            <w:vAlign w:val="center"/>
          </w:tcPr>
          <w:p w14:paraId="05F81196">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18C758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32A93163">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1FD87CA8">
            <w:pPr>
              <w:spacing w:after="0" w:line="240" w:lineRule="auto"/>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4F32FCC4">
            <w:pPr>
              <w:spacing w:line="240" w:lineRule="auto"/>
              <w:jc w:val="both"/>
              <w:rPr>
                <w:rFonts w:ascii="Times New Roman" w:hAnsi="Times New Roman" w:cs="Times New Roman"/>
                <w:sz w:val="20"/>
                <w:szCs w:val="20"/>
                <w:lang w:val="en-GB" w:eastAsia="en-GB"/>
              </w:rPr>
            </w:pPr>
          </w:p>
        </w:tc>
      </w:tr>
      <w:tr w14:paraId="0CAA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1619FB39">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7DC76649">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Procure Public address systems, radio space and gear for managing public order for Police and the Administration by the end of Dec. 2026.</w:t>
            </w:r>
          </w:p>
        </w:tc>
        <w:tc>
          <w:tcPr>
            <w:tcW w:w="1420" w:type="dxa"/>
            <w:tcBorders>
              <w:top w:val="single" w:color="auto" w:sz="4" w:space="0"/>
              <w:left w:val="single" w:color="auto" w:sz="4" w:space="0"/>
              <w:bottom w:val="single" w:color="auto" w:sz="4" w:space="0"/>
              <w:right w:val="single" w:color="auto" w:sz="4" w:space="0"/>
            </w:tcBorders>
            <w:vAlign w:val="center"/>
          </w:tcPr>
          <w:p w14:paraId="65AC01A4">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12C7EBFD">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45,000.00</w:t>
            </w:r>
          </w:p>
        </w:tc>
        <w:tc>
          <w:tcPr>
            <w:tcW w:w="1251" w:type="dxa"/>
            <w:tcBorders>
              <w:top w:val="single" w:color="auto" w:sz="4" w:space="0"/>
              <w:left w:val="single" w:color="auto" w:sz="4" w:space="0"/>
              <w:bottom w:val="single" w:color="auto" w:sz="4" w:space="0"/>
              <w:right w:val="single" w:color="auto" w:sz="4" w:space="0"/>
            </w:tcBorders>
            <w:vAlign w:val="center"/>
          </w:tcPr>
          <w:p w14:paraId="1AB5029C">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2D31C8E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69F52287">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7C3A825C">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76" w:type="dxa"/>
            <w:tcBorders>
              <w:top w:val="single" w:color="auto" w:sz="4" w:space="0"/>
              <w:left w:val="single" w:color="auto" w:sz="4" w:space="0"/>
              <w:bottom w:val="single" w:color="auto" w:sz="4" w:space="0"/>
              <w:right w:val="single" w:color="auto" w:sz="4" w:space="0"/>
            </w:tcBorders>
            <w:vAlign w:val="center"/>
          </w:tcPr>
          <w:p w14:paraId="6BA80425">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27B402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2" w:type="dxa"/>
            <w:tcBorders>
              <w:top w:val="single" w:color="auto" w:sz="4" w:space="0"/>
              <w:left w:val="single" w:color="auto" w:sz="4" w:space="0"/>
              <w:bottom w:val="single" w:color="auto" w:sz="4" w:space="0"/>
              <w:right w:val="single" w:color="auto" w:sz="4" w:space="0"/>
            </w:tcBorders>
            <w:vAlign w:val="center"/>
          </w:tcPr>
          <w:p w14:paraId="3FBF2A8D">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EE0000"/>
            <w:vAlign w:val="center"/>
          </w:tcPr>
          <w:p w14:paraId="23D032CC">
            <w:pPr>
              <w:spacing w:line="240" w:lineRule="auto"/>
              <w:rPr>
                <w:rFonts w:ascii="Times New Roman" w:hAnsi="Times New Roman" w:cs="Times New Roman"/>
                <w:sz w:val="20"/>
                <w:szCs w:val="20"/>
              </w:rPr>
            </w:pPr>
            <w:r>
              <w:rPr>
                <w:rFonts w:ascii="Times New Roman" w:hAnsi="Times New Roman" w:cs="Times New Roman"/>
                <w:sz w:val="20"/>
                <w:szCs w:val="20"/>
              </w:rPr>
              <w:t>Yet To-Start</w:t>
            </w:r>
          </w:p>
        </w:tc>
        <w:tc>
          <w:tcPr>
            <w:tcW w:w="990" w:type="dxa"/>
            <w:tcBorders>
              <w:top w:val="single" w:color="auto" w:sz="4" w:space="0"/>
              <w:left w:val="single" w:color="auto" w:sz="4" w:space="0"/>
              <w:bottom w:val="single" w:color="auto" w:sz="4" w:space="0"/>
              <w:right w:val="single" w:color="auto" w:sz="4" w:space="0"/>
            </w:tcBorders>
            <w:vAlign w:val="center"/>
          </w:tcPr>
          <w:p w14:paraId="05399235">
            <w:pPr>
              <w:spacing w:line="240" w:lineRule="auto"/>
              <w:jc w:val="both"/>
              <w:rPr>
                <w:rFonts w:ascii="Times New Roman" w:hAnsi="Times New Roman" w:cs="Times New Roman"/>
                <w:sz w:val="20"/>
                <w:szCs w:val="20"/>
                <w:lang w:val="en-GB" w:eastAsia="en-GB"/>
              </w:rPr>
            </w:pPr>
          </w:p>
        </w:tc>
      </w:tr>
      <w:tr w14:paraId="0A6D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87"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FBE4D5"/>
            <w:vAlign w:val="center"/>
          </w:tcPr>
          <w:p w14:paraId="094C0123">
            <w:pPr>
              <w:numPr>
                <w:ilvl w:val="0"/>
                <w:numId w:val="7"/>
              </w:numPr>
              <w:spacing w:after="0" w:line="240" w:lineRule="auto"/>
              <w:contextualSpacing/>
              <w:rPr>
                <w:rFonts w:ascii="Times New Roman" w:hAnsi="Times New Roman" w:cs="Times New Roman"/>
                <w:sz w:val="20"/>
                <w:szCs w:val="20"/>
                <w:lang w:eastAsia="zh-CN"/>
              </w:rPr>
            </w:pPr>
          </w:p>
        </w:tc>
        <w:tc>
          <w:tcPr>
            <w:tcW w:w="2582" w:type="dxa"/>
            <w:tcBorders>
              <w:top w:val="single" w:color="auto" w:sz="4" w:space="0"/>
              <w:left w:val="single" w:color="auto" w:sz="4" w:space="0"/>
              <w:bottom w:val="single" w:color="auto" w:sz="4" w:space="0"/>
              <w:right w:val="single" w:color="auto" w:sz="4" w:space="0"/>
            </w:tcBorders>
            <w:vAlign w:val="center"/>
          </w:tcPr>
          <w:p w14:paraId="43D45735">
            <w:pPr>
              <w:spacing w:before="100" w:beforeAutospacing="1" w:line="240" w:lineRule="auto"/>
              <w:rPr>
                <w:rFonts w:ascii="Times New Roman" w:hAnsi="Times New Roman" w:cs="Times New Roman"/>
                <w:sz w:val="20"/>
                <w:szCs w:val="20"/>
              </w:rPr>
            </w:pPr>
            <w:r>
              <w:rPr>
                <w:rFonts w:ascii="Times New Roman" w:hAnsi="Times New Roman" w:cs="Times New Roman"/>
                <w:sz w:val="20"/>
                <w:szCs w:val="20"/>
              </w:rPr>
              <w:t>Organize Domestic violence awareness in schools/community outreach &amp; health tips for GPS personnel by the end of Sept.2026.</w:t>
            </w:r>
          </w:p>
        </w:tc>
        <w:tc>
          <w:tcPr>
            <w:tcW w:w="1420" w:type="dxa"/>
            <w:tcBorders>
              <w:top w:val="single" w:color="auto" w:sz="4" w:space="0"/>
              <w:left w:val="single" w:color="auto" w:sz="4" w:space="0"/>
              <w:bottom w:val="single" w:color="auto" w:sz="4" w:space="0"/>
              <w:right w:val="single" w:color="auto" w:sz="4" w:space="0"/>
            </w:tcBorders>
            <w:vAlign w:val="center"/>
          </w:tcPr>
          <w:p w14:paraId="44226EA3">
            <w:pPr>
              <w:spacing w:line="240" w:lineRule="auto"/>
              <w:rPr>
                <w:rFonts w:ascii="Times New Roman" w:hAnsi="Times New Roman" w:cs="Times New Roman"/>
                <w:sz w:val="20"/>
                <w:szCs w:val="20"/>
              </w:rPr>
            </w:pPr>
            <w:r>
              <w:rPr>
                <w:rFonts w:ascii="Times New Roman" w:hAnsi="Times New Roman" w:cs="Times New Roman"/>
                <w:sz w:val="20"/>
                <w:szCs w:val="20"/>
              </w:rPr>
              <w:t>Governance, Corruption And Social Accountability</w:t>
            </w:r>
          </w:p>
        </w:tc>
        <w:tc>
          <w:tcPr>
            <w:tcW w:w="1157" w:type="dxa"/>
            <w:tcBorders>
              <w:top w:val="single" w:color="auto" w:sz="4" w:space="0"/>
              <w:left w:val="single" w:color="auto" w:sz="4" w:space="0"/>
              <w:bottom w:val="single" w:color="auto" w:sz="4" w:space="0"/>
              <w:right w:val="single" w:color="auto" w:sz="4" w:space="0"/>
            </w:tcBorders>
            <w:vAlign w:val="center"/>
          </w:tcPr>
          <w:p w14:paraId="77FB29A5">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40,000.00</w:t>
            </w:r>
          </w:p>
        </w:tc>
        <w:tc>
          <w:tcPr>
            <w:tcW w:w="1251" w:type="dxa"/>
            <w:tcBorders>
              <w:top w:val="single" w:color="auto" w:sz="4" w:space="0"/>
              <w:left w:val="single" w:color="auto" w:sz="4" w:space="0"/>
              <w:bottom w:val="single" w:color="auto" w:sz="4" w:space="0"/>
              <w:right w:val="single" w:color="auto" w:sz="4" w:space="0"/>
            </w:tcBorders>
            <w:vAlign w:val="center"/>
          </w:tcPr>
          <w:p w14:paraId="79799540">
            <w:pPr>
              <w:spacing w:line="240" w:lineRule="auto"/>
              <w:jc w:val="center"/>
              <w:rPr>
                <w:rFonts w:ascii="Times New Roman" w:hAnsi="Times New Roman" w:cs="Times New Roman"/>
                <w:sz w:val="20"/>
                <w:szCs w:val="20"/>
              </w:rPr>
            </w:pPr>
            <w:r>
              <w:rPr>
                <w:rFonts w:ascii="Times New Roman" w:hAnsi="Times New Roman" w:cs="Times New Roman"/>
                <w:sz w:val="20"/>
                <w:szCs w:val="20"/>
              </w:rPr>
              <w:t>IGF</w:t>
            </w:r>
          </w:p>
        </w:tc>
        <w:tc>
          <w:tcPr>
            <w:tcW w:w="992" w:type="dxa"/>
            <w:tcBorders>
              <w:top w:val="single" w:color="auto" w:sz="4" w:space="0"/>
              <w:left w:val="single" w:color="auto" w:sz="4" w:space="0"/>
              <w:bottom w:val="single" w:color="auto" w:sz="4" w:space="0"/>
              <w:right w:val="single" w:color="auto" w:sz="4" w:space="0"/>
            </w:tcBorders>
            <w:vAlign w:val="center"/>
          </w:tcPr>
          <w:p w14:paraId="485FB142">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January 2026</w:t>
            </w:r>
          </w:p>
        </w:tc>
        <w:tc>
          <w:tcPr>
            <w:tcW w:w="992" w:type="dxa"/>
            <w:tcBorders>
              <w:top w:val="single" w:color="auto" w:sz="4" w:space="0"/>
              <w:left w:val="single" w:color="auto" w:sz="4" w:space="0"/>
              <w:bottom w:val="single" w:color="auto" w:sz="4" w:space="0"/>
              <w:right w:val="single" w:color="auto" w:sz="4" w:space="0"/>
            </w:tcBorders>
            <w:vAlign w:val="center"/>
          </w:tcPr>
          <w:p w14:paraId="1A20184E">
            <w:pPr>
              <w:spacing w:after="0" w:line="24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31</w:t>
            </w:r>
            <w:r>
              <w:rPr>
                <w:rFonts w:ascii="Times New Roman" w:hAnsi="Times New Roman" w:cs="Times New Roman"/>
                <w:sz w:val="20"/>
                <w:szCs w:val="20"/>
                <w:vertAlign w:val="superscript"/>
                <w:lang w:eastAsia="en-GB"/>
              </w:rPr>
              <w:t>st</w:t>
            </w:r>
            <w:r>
              <w:rPr>
                <w:rFonts w:ascii="Times New Roman" w:hAnsi="Times New Roman" w:cs="Times New Roman"/>
                <w:sz w:val="20"/>
                <w:szCs w:val="20"/>
                <w:lang w:eastAsia="en-GB"/>
              </w:rPr>
              <w:t xml:space="preserve"> March 2026</w:t>
            </w:r>
          </w:p>
        </w:tc>
        <w:tc>
          <w:tcPr>
            <w:tcW w:w="1118" w:type="dxa"/>
            <w:tcBorders>
              <w:top w:val="single" w:color="auto" w:sz="4" w:space="0"/>
              <w:left w:val="single" w:color="auto" w:sz="4" w:space="0"/>
              <w:bottom w:val="single" w:color="auto" w:sz="4" w:space="0"/>
              <w:right w:val="single" w:color="auto" w:sz="4" w:space="0"/>
            </w:tcBorders>
            <w:vAlign w:val="center"/>
          </w:tcPr>
          <w:p w14:paraId="5C512E51">
            <w:pPr>
              <w:spacing w:before="100" w:beforeAutospacing="1" w:line="240" w:lineRule="auto"/>
              <w:jc w:val="center"/>
              <w:rPr>
                <w:rFonts w:ascii="Times New Roman" w:hAnsi="Times New Roman" w:cs="Times New Roman"/>
                <w:sz w:val="20"/>
                <w:szCs w:val="20"/>
              </w:rPr>
            </w:pPr>
            <w:r>
              <w:rPr>
                <w:rFonts w:ascii="Times New Roman" w:hAnsi="Times New Roman" w:cs="Times New Roman"/>
                <w:sz w:val="20"/>
                <w:szCs w:val="20"/>
              </w:rPr>
              <w:t>40,000.00</w:t>
            </w:r>
          </w:p>
        </w:tc>
        <w:tc>
          <w:tcPr>
            <w:tcW w:w="1276" w:type="dxa"/>
            <w:tcBorders>
              <w:top w:val="single" w:color="auto" w:sz="4" w:space="0"/>
              <w:left w:val="single" w:color="auto" w:sz="4" w:space="0"/>
              <w:bottom w:val="single" w:color="auto" w:sz="4" w:space="0"/>
              <w:right w:val="single" w:color="auto" w:sz="4" w:space="0"/>
            </w:tcBorders>
            <w:vAlign w:val="center"/>
          </w:tcPr>
          <w:p w14:paraId="316ACC4B">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757" w:type="dxa"/>
            <w:tcBorders>
              <w:top w:val="single" w:color="auto" w:sz="4" w:space="0"/>
              <w:left w:val="single" w:color="auto" w:sz="4" w:space="0"/>
              <w:bottom w:val="single" w:color="auto" w:sz="4" w:space="0"/>
              <w:right w:val="single" w:color="auto" w:sz="4" w:space="0"/>
            </w:tcBorders>
            <w:vAlign w:val="center"/>
          </w:tcPr>
          <w:p w14:paraId="692C1E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12" w:type="dxa"/>
            <w:tcBorders>
              <w:top w:val="single" w:color="auto" w:sz="4" w:space="0"/>
              <w:left w:val="single" w:color="auto" w:sz="4" w:space="0"/>
              <w:bottom w:val="single" w:color="auto" w:sz="4" w:space="0"/>
              <w:right w:val="single" w:color="auto" w:sz="4" w:space="0"/>
            </w:tcBorders>
            <w:vAlign w:val="center"/>
          </w:tcPr>
          <w:p w14:paraId="5C8EA8BF">
            <w:pPr>
              <w:spacing w:after="0" w:line="240" w:lineRule="auto"/>
              <w:jc w:val="center"/>
              <w:rPr>
                <w:rFonts w:ascii="Times New Roman" w:hAnsi="Times New Roman" w:cs="Times New Roman"/>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FFFF00"/>
            <w:vAlign w:val="center"/>
          </w:tcPr>
          <w:p w14:paraId="67EC7FA6">
            <w:pPr>
              <w:spacing w:line="240" w:lineRule="auto"/>
              <w:jc w:val="center"/>
              <w:rPr>
                <w:rFonts w:ascii="Times New Roman" w:hAnsi="Times New Roman" w:cs="Times New Roman"/>
                <w:sz w:val="20"/>
                <w:szCs w:val="20"/>
              </w:rPr>
            </w:pPr>
            <w:r>
              <w:rPr>
                <w:rFonts w:ascii="Times New Roman" w:hAnsi="Times New Roman" w:cs="Times New Roman"/>
                <w:sz w:val="20"/>
                <w:szCs w:val="20"/>
              </w:rPr>
              <w:t>On-going</w:t>
            </w:r>
          </w:p>
        </w:tc>
        <w:tc>
          <w:tcPr>
            <w:tcW w:w="990" w:type="dxa"/>
            <w:tcBorders>
              <w:top w:val="single" w:color="auto" w:sz="4" w:space="0"/>
              <w:left w:val="single" w:color="auto" w:sz="4" w:space="0"/>
              <w:bottom w:val="single" w:color="auto" w:sz="4" w:space="0"/>
              <w:right w:val="single" w:color="auto" w:sz="4" w:space="0"/>
            </w:tcBorders>
            <w:vAlign w:val="center"/>
          </w:tcPr>
          <w:p w14:paraId="76EA0274">
            <w:pPr>
              <w:spacing w:line="240" w:lineRule="auto"/>
              <w:jc w:val="both"/>
              <w:rPr>
                <w:rFonts w:ascii="Times New Roman" w:hAnsi="Times New Roman" w:cs="Times New Roman"/>
                <w:sz w:val="20"/>
                <w:szCs w:val="20"/>
                <w:lang w:val="en-GB" w:eastAsia="en-GB"/>
              </w:rPr>
            </w:pPr>
          </w:p>
        </w:tc>
      </w:tr>
    </w:tbl>
    <w:p w14:paraId="49767A4D">
      <w:pPr>
        <w:spacing w:line="360" w:lineRule="auto"/>
        <w:rPr>
          <w:rFonts w:ascii="Times New Roman" w:hAnsi="Times New Roman" w:cs="Times New Roman" w:eastAsiaTheme="majorEastAsia"/>
          <w:sz w:val="24"/>
          <w:szCs w:val="24"/>
        </w:rPr>
        <w:sectPr>
          <w:pgSz w:w="16838" w:h="11906" w:orient="landscape"/>
          <w:pgMar w:top="720" w:right="720" w:bottom="720" w:left="720" w:header="720" w:footer="561" w:gutter="0"/>
          <w:cols w:space="720" w:num="1"/>
          <w:docGrid w:linePitch="326" w:charSpace="0"/>
        </w:sectPr>
      </w:pPr>
    </w:p>
    <w:p w14:paraId="613EB2AA">
      <w:pPr>
        <w:pStyle w:val="4"/>
        <w:spacing w:after="240"/>
        <w:rPr>
          <w:rFonts w:ascii="Times New Roman" w:hAnsi="Times New Roman" w:cs="Times New Roman"/>
          <w:b/>
          <w:bCs/>
          <w:i/>
          <w:iCs/>
          <w:color w:val="auto"/>
        </w:rPr>
      </w:pPr>
      <w:bookmarkStart w:id="49" w:name="_Toc230260727"/>
      <w:r>
        <w:rPr>
          <w:rFonts w:ascii="Times New Roman" w:hAnsi="Times New Roman" w:cs="Times New Roman"/>
          <w:b/>
          <w:bCs/>
          <w:i/>
          <w:iCs/>
          <w:color w:val="auto"/>
        </w:rPr>
        <w:t>2.1.1 Update on Programmes Register (Non-Physical Programmes) for First Quarter 2026</w:t>
      </w:r>
      <w:bookmarkEnd w:id="49"/>
    </w:p>
    <w:p w14:paraId="3D5903AB">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Birim North District Assembly implemented a number of non-physical programmes during the First Quarter of 2026 as part of its Annual Action Plan. These interventions were largely service-oriented and focused on improving governance, strengthening institutional capacity, enhancing revenue mobilization, promoting public health, supporting education delivery, and improving social protection systems within the District. The programmes were implemented using funds from IGF, DACF, GOG, and development partner support, and were carried out through coordinated efforts of the various departments and units of the Assembly.</w:t>
      </w:r>
    </w:p>
    <w:p w14:paraId="1AEE7DC8">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Revenue Generation and Financial Management in the District</w:t>
      </w:r>
    </w:p>
    <w:p w14:paraId="4A5C2025">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the area of financial administration, the Assembly successfully implemented key revenue enhancement and financial management interventions. These included the development and implementation of the bill printing system to improve billing efficiency, public sensitization on e-billing and electronic payment systems to enhance compliance, upgrading of internet facilities to strengthen GIFMIS operations, and the organization of pay-your-levy campaigns. These activities contributed to improved revenue awareness, increased taxpayer compliance, and strengthened financial reporting systems within the Assembly.</w:t>
      </w:r>
    </w:p>
    <w:p w14:paraId="4B4A1803">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Agricultural Development in the District</w:t>
      </w:r>
    </w:p>
    <w:p w14:paraId="74880C7E">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the agricultural sector, although many planned activities were at preparatory stages, some institutional and coordination-related interventions were implemented, particularly those related to agricultural planning processes, extension service coordination, and capacity strengthening engagements. These activities supported ongoing efforts to improve agricultural service delivery systems and enhance coordination between the Department of Agriculture and farmers within the District.</w:t>
      </w:r>
    </w:p>
    <w:p w14:paraId="22544313">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Trade and Industry</w:t>
      </w:r>
      <w:r>
        <w:rPr>
          <w:rFonts w:ascii="Times New Roman" w:hAnsi="Times New Roman" w:cs="Times New Roman" w:eastAsiaTheme="majorEastAsia"/>
          <w:b/>
          <w:i/>
          <w:sz w:val="24"/>
          <w:szCs w:val="24"/>
          <w:lang w:val="zh-CN"/>
        </w:rPr>
        <w:t xml:space="preserve"> </w:t>
      </w:r>
      <w:r>
        <w:rPr>
          <w:rFonts w:ascii="Times New Roman" w:hAnsi="Times New Roman" w:cs="Times New Roman" w:eastAsiaTheme="majorEastAsia"/>
          <w:b/>
          <w:i/>
          <w:sz w:val="24"/>
          <w:szCs w:val="24"/>
        </w:rPr>
        <w:t>Development in the District</w:t>
      </w:r>
    </w:p>
    <w:p w14:paraId="159DE8C7">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Within the Business Advisory Centre (BAC) and trade support services, implemented activities included business counselling and monitoring sessions for small and medium-scale enterprises, as well as targeted coaching and advisory services for entrepreneurs, particularly women and youth. These interventions strengthened enterprise performance, improved business management practices, and enhanced the sustainability of small businesses in the District.</w:t>
      </w:r>
    </w:p>
    <w:p w14:paraId="5A3DD379">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lang w:val="zh-CN"/>
        </w:rPr>
        <w:t>Tourism</w:t>
      </w:r>
      <w:r>
        <w:rPr>
          <w:rFonts w:ascii="Times New Roman" w:hAnsi="Times New Roman" w:cs="Times New Roman" w:eastAsiaTheme="majorEastAsia"/>
          <w:b/>
          <w:i/>
          <w:sz w:val="24"/>
          <w:szCs w:val="24"/>
        </w:rPr>
        <w:t xml:space="preserve"> Development in the District</w:t>
      </w:r>
    </w:p>
    <w:p w14:paraId="43B9571B">
      <w:pPr>
        <w:spacing w:line="360" w:lineRule="auto"/>
        <w:jc w:val="both"/>
        <w:rPr>
          <w:rFonts w:ascii="Times New Roman" w:hAnsi="Times New Roman" w:cs="Times New Roman" w:eastAsiaTheme="majorEastAsia"/>
          <w:sz w:val="24"/>
          <w:szCs w:val="24"/>
          <w:lang w:val="zh-CN"/>
        </w:rPr>
      </w:pPr>
      <w:r>
        <w:rPr>
          <w:rFonts w:ascii="Times New Roman" w:hAnsi="Times New Roman" w:cs="Times New Roman" w:eastAsiaTheme="majorEastAsia"/>
          <w:sz w:val="24"/>
          <w:szCs w:val="24"/>
          <w:lang w:val="zh-CN"/>
        </w:rPr>
        <w:t>Under tourism, proposals have been submitted to the Ghana Tourism Authority through the Eastern Regional Coordinating Council (ERCC) for onward consideration and engagement with prospective investors. These proposals seek to facilitate the development of key potential tourist sites within the district, including the Adjendua Waterfalls, the Noyem Natural Dam, and the confluence of the Abenasuo and Pra rivers.</w:t>
      </w:r>
    </w:p>
    <w:p w14:paraId="385198C1">
      <w:pPr>
        <w:spacing w:line="360" w:lineRule="auto"/>
        <w:jc w:val="both"/>
        <w:rPr>
          <w:rFonts w:ascii="Times New Roman" w:hAnsi="Times New Roman" w:cs="Times New Roman" w:eastAsiaTheme="majorEastAsia"/>
          <w:sz w:val="24"/>
          <w:szCs w:val="24"/>
          <w:lang w:val="zh-CN"/>
        </w:rPr>
      </w:pPr>
      <w:r>
        <w:rPr>
          <w:rFonts w:ascii="Times New Roman" w:hAnsi="Times New Roman" w:cs="Times New Roman" w:eastAsiaTheme="majorEastAsia"/>
          <w:sz w:val="24"/>
          <w:szCs w:val="24"/>
          <w:lang w:val="zh-CN"/>
        </w:rPr>
        <w:t>The initiative aims to attract private sector participation to harness these natural assets, promote eco-tourism, and stimulate local economic development. Once developed, these sites are expected to create employment opportunities, improve livelihoods, and position the district as an emerging tourist destination within the region. Ongoing efforts are underway to ensure proper planning, sustainable management, and the provision of supporting infrastructure to enhance the viability of these projects.</w:t>
      </w:r>
    </w:p>
    <w:p w14:paraId="65F7C899">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Education Youth and Sports Development in the District</w:t>
      </w:r>
    </w:p>
    <w:p w14:paraId="6DD77929">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During the First Quarter of 2026, the Birim North District Assembly, through the Department of Education and other stakeholders, implemented several programmes and activities aimed at improving education delivery, youth empowerment, sports development, and student welfare within the district. These interventions were geared towards enhancing teaching and learning outcomes, promoting extracurricular development, improving adolescent health awareness, and encouraging active participation of students in educational and cultural activities.</w:t>
      </w:r>
    </w:p>
    <w:p w14:paraId="7E500317">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One of the major interventions undertaken during the quarter was the distribution of twenty thousand (20,000) sanitary pads to schoolgirls across the district to support menstrual hygiene management and improve school attendance among adolescent girls. The intervention formed part of efforts to promote girl-child education, reduce absenteeism during menstrual periods, and enhance the confidence and wellbeing of female students within schools.</w:t>
      </w:r>
    </w:p>
    <w:p w14:paraId="5E938A75">
      <w:pPr>
        <w:pStyle w:val="8"/>
        <w:keepNext/>
        <w:rPr>
          <w:color w:val="auto"/>
        </w:rPr>
      </w:pPr>
      <w:bookmarkStart w:id="50" w:name="_Toc229970873"/>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5</w:t>
      </w:r>
      <w:r>
        <w:rPr>
          <w:color w:val="auto"/>
        </w:rPr>
        <w:fldChar w:fldCharType="end"/>
      </w:r>
      <w:r>
        <w:rPr>
          <w:color w:val="auto"/>
        </w:rPr>
        <w:t>: DISTRIBUTION OF 20,000 SANITARY PADS TO SUPPORT GIRL CHILD IN THE DISTRICT</w:t>
      </w:r>
      <w:bookmarkEnd w:id="50"/>
    </w:p>
    <w:p w14:paraId="5D338325">
      <w:pPr>
        <w:rPr>
          <w:rFonts w:ascii="Times New Roman" w:hAnsi="Times New Roman" w:cs="Times New Roman"/>
        </w:rPr>
      </w:pPr>
      <w:r>
        <w:rPr>
          <w:rFonts w:ascii="Times New Roman" w:hAnsi="Times New Roman" w:cs="Times New Roman"/>
        </w:rPr>
        <w:drawing>
          <wp:inline distT="0" distB="0" distL="0" distR="0">
            <wp:extent cx="3216910" cy="2413000"/>
            <wp:effectExtent l="0" t="0" r="254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3255275" cy="2441554"/>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346450" cy="2279650"/>
            <wp:effectExtent l="0" t="0" r="635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369340" cy="2295243"/>
                    </a:xfrm>
                    <a:prstGeom prst="rect">
                      <a:avLst/>
                    </a:prstGeom>
                    <a:noFill/>
                    <a:ln>
                      <a:noFill/>
                    </a:ln>
                  </pic:spPr>
                </pic:pic>
              </a:graphicData>
            </a:graphic>
          </wp:inline>
        </w:drawing>
      </w:r>
    </w:p>
    <w:p w14:paraId="1C3AF7B6">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Hon. District Chief Executive, Abdul Hakim Antwi, also supported education delivery in the district through the donation of computers to selected schools to enhance Information and Communication Technology (ICT) education and improve students’ access to digital learning opportunities. The intervention was aimed at promoting digital literacy and strengthening ICT teaching and learning within schools across the district.</w:t>
      </w:r>
    </w:p>
    <w:p w14:paraId="1D3DCFB8">
      <w:pPr>
        <w:pStyle w:val="8"/>
        <w:keepNext/>
        <w:jc w:val="both"/>
        <w:rPr>
          <w:color w:val="auto"/>
        </w:rPr>
      </w:pPr>
      <w:bookmarkStart w:id="51" w:name="_Toc229970874"/>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6</w:t>
      </w:r>
      <w:r>
        <w:rPr>
          <w:color w:val="auto"/>
        </w:rPr>
        <w:fldChar w:fldCharType="end"/>
      </w:r>
      <w:r>
        <w:rPr>
          <w:color w:val="auto"/>
        </w:rPr>
        <w:t>: DONATION OF COMPUTERS TO SELECTED SCHOOLS BY THE HON. DCE</w:t>
      </w:r>
      <w:bookmarkEnd w:id="51"/>
    </w:p>
    <w:p w14:paraId="67568E13">
      <w:pPr>
        <w:spacing w:line="360" w:lineRule="auto"/>
        <w:jc w:val="both"/>
        <w:rPr>
          <w:rFonts w:ascii="Times New Roman" w:hAnsi="Times New Roman" w:cs="Times New Roman" w:eastAsiaTheme="majorEastAsia"/>
          <w:sz w:val="24"/>
          <w:szCs w:val="24"/>
        </w:rPr>
      </w:pPr>
      <w:r>
        <w:rPr>
          <w:rFonts w:ascii="Times New Roman" w:hAnsi="Times New Roman" w:cs="Times New Roman"/>
        </w:rPr>
        <w:drawing>
          <wp:inline distT="0" distB="0" distL="0" distR="0">
            <wp:extent cx="6562090" cy="2533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6657219" cy="2570237"/>
                    </a:xfrm>
                    <a:prstGeom prst="rect">
                      <a:avLst/>
                    </a:prstGeom>
                    <a:noFill/>
                    <a:ln>
                      <a:noFill/>
                    </a:ln>
                  </pic:spPr>
                </pic:pic>
              </a:graphicData>
            </a:graphic>
          </wp:inline>
        </w:drawing>
      </w:r>
    </w:p>
    <w:p w14:paraId="7E954CA2">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district also intensified preparations towards the organization of the District Sports Festival as part of efforts to promote sports development and nurture young sporting talents within the district. During the reporting period, the district participated in the Under-13 (U-13) Zonal Sports Festival held at Mpraeso, where the district placed third (3rd) within the zone. This achievement reflects the continued commitment of the Assembly and the Ghana Education Service toward sports development and talent identification among school children.</w:t>
      </w:r>
    </w:p>
    <w:p w14:paraId="40A9EBF8">
      <w:pPr>
        <w:pStyle w:val="8"/>
        <w:keepNext/>
        <w:jc w:val="both"/>
        <w:rPr>
          <w:color w:val="auto"/>
        </w:rPr>
      </w:pPr>
      <w:bookmarkStart w:id="52" w:name="_Toc229970875"/>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7</w:t>
      </w:r>
      <w:r>
        <w:rPr>
          <w:color w:val="auto"/>
        </w:rPr>
        <w:fldChar w:fldCharType="end"/>
      </w:r>
      <w:r>
        <w:rPr>
          <w:color w:val="auto"/>
        </w:rPr>
        <w:t>: PREPARATION FOR DISTRICT SPORT FESTIVAL IN THE DISTRICT</w:t>
      </w:r>
      <w:bookmarkEnd w:id="52"/>
    </w:p>
    <w:p w14:paraId="51CE7284">
      <w:pPr>
        <w:keepNext/>
        <w:jc w:val="both"/>
        <w:rPr>
          <w:rFonts w:ascii="Times New Roman" w:hAnsi="Times New Roman" w:cs="Times New Roman"/>
        </w:rPr>
      </w:pPr>
      <w:r>
        <w:rPr>
          <w:rFonts w:ascii="Times New Roman" w:hAnsi="Times New Roman" w:cs="Times New Roman"/>
        </w:rPr>
        <w:drawing>
          <wp:inline distT="0" distB="0" distL="0" distR="0">
            <wp:extent cx="3190240" cy="2440940"/>
            <wp:effectExtent l="0" t="0" r="0" b="0"/>
            <wp:docPr id="135" name="Picture 135" descr="D:\STEM\sports k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D:\STEM\sports ken1.jpg"/>
                    <pic:cNvPicPr>
                      <a:picLocks noChangeAspect="1" noChangeArrowheads="1"/>
                    </pic:cNvPicPr>
                  </pic:nvPicPr>
                  <pic:blipFill>
                    <a:blip r:embed="rId66">
                      <a:extLst>
                        <a:ext uri="{BEBA8EAE-BF5A-486C-A8C5-ECC9F3942E4B}">
                          <a14:imgProps xmlns:a14="http://schemas.microsoft.com/office/drawing/2010/main">
                            <a14:imgLayer r:embed="rId6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3235541" cy="2475941"/>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319780" cy="2458085"/>
            <wp:effectExtent l="0" t="0" r="0" b="0"/>
            <wp:docPr id="136" name="Picture 136" descr="D:\STEM\sports k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D:\STEM\sports ken3.jpg"/>
                    <pic:cNvPicPr>
                      <a:picLocks noChangeAspect="1" noChangeArrowheads="1"/>
                    </pic:cNvPicPr>
                  </pic:nvPicPr>
                  <pic:blipFill>
                    <a:blip r:embed="rId68">
                      <a:extLst>
                        <a:ext uri="{BEBA8EAE-BF5A-486C-A8C5-ECC9F3942E4B}">
                          <a14:imgProps xmlns:a14="http://schemas.microsoft.com/office/drawing/2010/main">
                            <a14:imgLayer r:embed="rId6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3369341" cy="2494513"/>
                    </a:xfrm>
                    <a:prstGeom prst="rect">
                      <a:avLst/>
                    </a:prstGeom>
                    <a:noFill/>
                    <a:ln>
                      <a:noFill/>
                    </a:ln>
                  </pic:spPr>
                </pic:pic>
              </a:graphicData>
            </a:graphic>
          </wp:inline>
        </w:drawing>
      </w:r>
    </w:p>
    <w:p w14:paraId="780C2198">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Cultural and educational activities were also organized during the quarter to promote creativity, cultural identity, and community participation in education. Schools within the district actively participated in Culture Day celebrations and educational festivals aimed at preserving Ghanaian cultural heritage and promoting social cohesion among students. In addition, “Read with the Community Day” and Culture Week activities were promoted to strengthen reading culture and community involvement in education delivery.</w:t>
      </w:r>
    </w:p>
    <w:p w14:paraId="0471B6CA">
      <w:pPr>
        <w:pStyle w:val="8"/>
        <w:keepNext/>
        <w:jc w:val="both"/>
        <w:rPr>
          <w:color w:val="auto"/>
        </w:rPr>
      </w:pPr>
      <w:bookmarkStart w:id="53" w:name="_Toc229970876"/>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8</w:t>
      </w:r>
      <w:r>
        <w:rPr>
          <w:color w:val="auto"/>
        </w:rPr>
        <w:fldChar w:fldCharType="end"/>
      </w:r>
      <w:r>
        <w:rPr>
          <w:color w:val="auto"/>
        </w:rPr>
        <w:t>: CULTURE DAY CELEBRATION BY A SCHOOL IN THE DISTRICT</w:t>
      </w:r>
      <w:bookmarkEnd w:id="53"/>
    </w:p>
    <w:p w14:paraId="197E0C85">
      <w:pPr>
        <w:keepNext/>
        <w:jc w:val="both"/>
        <w:rPr>
          <w:rFonts w:ascii="Times New Roman" w:hAnsi="Times New Roman" w:cs="Times New Roman"/>
        </w:rPr>
      </w:pPr>
      <w:r>
        <w:rPr>
          <w:rFonts w:ascii="Times New Roman" w:hAnsi="Times New Roman" w:cs="Times New Roman"/>
        </w:rPr>
        <w:drawing>
          <wp:inline distT="0" distB="0" distL="0" distR="0">
            <wp:extent cx="3258820" cy="2320290"/>
            <wp:effectExtent l="0" t="0" r="0" b="3810"/>
            <wp:docPr id="137" name="Picture 137" descr="D:\STEM\culture Afosu 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D:\STEM\culture Afosu DA3.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3316491" cy="2361246"/>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267075" cy="2311400"/>
            <wp:effectExtent l="0" t="0" r="0" b="0"/>
            <wp:docPr id="138" name="Picture 138" descr="D:\STEM\culture Afosu D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STEM\culture Afosu DA4.jpg"/>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3343072" cy="2365456"/>
                    </a:xfrm>
                    <a:prstGeom prst="rect">
                      <a:avLst/>
                    </a:prstGeom>
                    <a:noFill/>
                    <a:ln>
                      <a:noFill/>
                    </a:ln>
                  </pic:spPr>
                </pic:pic>
              </a:graphicData>
            </a:graphic>
          </wp:inline>
        </w:drawing>
      </w:r>
    </w:p>
    <w:p w14:paraId="13B31972">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To improve teaching and learning outcomes, the District Education Directorate organized capacity-building programmes for Science and Mathematics teachers within the district. A total of twenty-eight (28) Science and Mathematics teachers from fourteen (14) selected schools benefitted from the training programme. The training sought to strengthen pedagogical skills, improve lesson delivery, and enhance student performance in Science, Technology, Engineering, and Mathematics (STEM)-related subjects.</w:t>
      </w:r>
    </w:p>
    <w:p w14:paraId="58E3D6B2">
      <w:pPr>
        <w:pStyle w:val="8"/>
        <w:keepNext/>
        <w:jc w:val="both"/>
        <w:rPr>
          <w:color w:val="auto"/>
        </w:rPr>
      </w:pPr>
      <w:bookmarkStart w:id="54" w:name="_Toc229970877"/>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9</w:t>
      </w:r>
      <w:r>
        <w:rPr>
          <w:color w:val="auto"/>
        </w:rPr>
        <w:fldChar w:fldCharType="end"/>
      </w:r>
      <w:r>
        <w:rPr>
          <w:color w:val="auto"/>
        </w:rPr>
        <w:t>: CAPACITY –BUILDING SCIENCE AND MATHEMATICS TEACHERS IN THE DISTRICT</w:t>
      </w:r>
      <w:bookmarkEnd w:id="54"/>
    </w:p>
    <w:p w14:paraId="37B051EB">
      <w:pPr>
        <w:tabs>
          <w:tab w:val="left" w:pos="13159"/>
        </w:tabs>
        <w:jc w:val="both"/>
        <w:rPr>
          <w:rFonts w:ascii="Times New Roman" w:hAnsi="Times New Roman" w:cs="Times New Roman"/>
        </w:rPr>
      </w:pPr>
      <w:r>
        <w:rPr>
          <w:rFonts w:ascii="Times New Roman" w:hAnsi="Times New Roman" w:cs="Times New Roman"/>
        </w:rPr>
        <w:drawing>
          <wp:inline distT="0" distB="0" distL="0" distR="0">
            <wp:extent cx="3268345" cy="2725420"/>
            <wp:effectExtent l="0" t="0" r="825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330748" cy="2777608"/>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189605" cy="2699385"/>
            <wp:effectExtent l="0" t="0" r="0" b="571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3214767" cy="2721149"/>
                    </a:xfrm>
                    <a:prstGeom prst="rect">
                      <a:avLst/>
                    </a:prstGeom>
                  </pic:spPr>
                </pic:pic>
              </a:graphicData>
            </a:graphic>
          </wp:inline>
        </w:drawing>
      </w:r>
    </w:p>
    <w:p w14:paraId="02436364">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district also organized Girls in STEM inter-schools quiz competitions to encourage female participation in science and technology education. The competition formed part of efforts to bridge the gender gap in STEM education and motivate girls to pursue careers in science and technology-related fields. Akoase Kissinger Baptist International School emerged as the winner of the competition. This initiative contributed significantly toward promoting innovation, confidence, and academic excellence among female students within the district.</w:t>
      </w:r>
    </w:p>
    <w:p w14:paraId="6E489D96">
      <w:pPr>
        <w:pStyle w:val="8"/>
        <w:keepNext/>
        <w:jc w:val="both"/>
        <w:rPr>
          <w:color w:val="auto"/>
        </w:rPr>
      </w:pPr>
      <w:bookmarkStart w:id="55" w:name="_Toc229970878"/>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10</w:t>
      </w:r>
      <w:r>
        <w:rPr>
          <w:color w:val="auto"/>
        </w:rPr>
        <w:fldChar w:fldCharType="end"/>
      </w:r>
      <w:r>
        <w:rPr>
          <w:color w:val="auto"/>
        </w:rPr>
        <w:t>: GIRLS IN STEM INTER-SCHOOLS COMPETITION HELD IN THE DISTRICT</w:t>
      </w:r>
      <w:bookmarkEnd w:id="55"/>
    </w:p>
    <w:p w14:paraId="72D26E6A">
      <w:pPr>
        <w:spacing w:line="360" w:lineRule="auto"/>
        <w:jc w:val="both"/>
        <w:rPr>
          <w:rFonts w:ascii="Times New Roman" w:hAnsi="Times New Roman" w:cs="Times New Roman" w:eastAsiaTheme="majorEastAsia"/>
          <w:sz w:val="24"/>
          <w:szCs w:val="24"/>
        </w:rPr>
      </w:pPr>
      <w:r>
        <w:rPr>
          <w:rFonts w:ascii="Times New Roman" w:hAnsi="Times New Roman" w:cs="Times New Roman"/>
          <w:b/>
          <w:bCs/>
        </w:rPr>
        <w:drawing>
          <wp:inline distT="0" distB="0" distL="0" distR="0">
            <wp:extent cx="3182620" cy="2803525"/>
            <wp:effectExtent l="0" t="0" r="0" b="0"/>
            <wp:docPr id="915901440" name="Picture 91590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0" name="Picture 915901440"/>
                    <pic:cNvPicPr>
                      <a:picLocks noChangeAspect="1"/>
                    </pic:cNvPicPr>
                  </pic:nvPicPr>
                  <pic:blipFill>
                    <a:blip r:embed="rId75" cstate="print">
                      <a:extLst>
                        <a:ext uri="{BEBA8EAE-BF5A-486C-A8C5-ECC9F3942E4B}">
                          <a14:imgProps xmlns:a14="http://schemas.microsoft.com/office/drawing/2010/main">
                            <a14:imgLayer r:embed="rId7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26208" cy="2841982"/>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bCs/>
        </w:rPr>
        <w:drawing>
          <wp:inline distT="0" distB="0" distL="0" distR="0">
            <wp:extent cx="3329305" cy="2794635"/>
            <wp:effectExtent l="0" t="0" r="4445" b="5715"/>
            <wp:docPr id="915901441" name="Picture 9159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1" name="Picture 91590144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3371112" cy="2830056"/>
                    </a:xfrm>
                    <a:prstGeom prst="rect">
                      <a:avLst/>
                    </a:prstGeom>
                  </pic:spPr>
                </pic:pic>
              </a:graphicData>
            </a:graphic>
          </wp:inline>
        </w:drawing>
      </w:r>
    </w:p>
    <w:p w14:paraId="0DE2D112">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As part of efforts to promote technical and vocational education, sensitization programmes were organized for Junior High School students on Technical and Vocational Education and Training (TVET) opportunities by the Abirem Vocational Training Institute (AVTI). The programme aimed at educating students on vocational career pathways and encouraging interest in technical and skills-based education as a means of addressing unemployment and promoting self-employment among the youth.</w:t>
      </w:r>
    </w:p>
    <w:p w14:paraId="517B5D0E">
      <w:pPr>
        <w:pStyle w:val="8"/>
        <w:keepNext/>
        <w:rPr>
          <w:color w:val="auto"/>
        </w:rPr>
      </w:pPr>
      <w:bookmarkStart w:id="56" w:name="_Toc229970879"/>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11</w:t>
      </w:r>
      <w:r>
        <w:rPr>
          <w:color w:val="auto"/>
        </w:rPr>
        <w:fldChar w:fldCharType="end"/>
      </w:r>
      <w:r>
        <w:rPr>
          <w:color w:val="auto"/>
        </w:rPr>
        <w:t>: SENSITIZATION OF JHS STUDENTS ON TVET PROGRAMMES BY AVTI</w:t>
      </w:r>
      <w:bookmarkEnd w:id="56"/>
    </w:p>
    <w:p w14:paraId="04ADC0CD">
      <w:pPr>
        <w:keepNext/>
        <w:rPr>
          <w:rFonts w:ascii="Times New Roman" w:hAnsi="Times New Roman" w:cs="Times New Roman"/>
        </w:rPr>
      </w:pPr>
      <w:r>
        <w:rPr>
          <w:rFonts w:ascii="Times New Roman" w:hAnsi="Times New Roman" w:cs="Times New Roman"/>
        </w:rPr>
        <w:drawing>
          <wp:inline distT="0" distB="0" distL="0" distR="0">
            <wp:extent cx="3225800" cy="2587625"/>
            <wp:effectExtent l="0" t="0" r="0" b="3175"/>
            <wp:docPr id="143" name="Picture 143" descr="D:\STEM\Screenshot 2026-04-27 131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D:\STEM\Screenshot 2026-04-27 131850.png"/>
                    <pic:cNvPicPr>
                      <a:picLocks noChangeAspect="1" noChangeArrowheads="1"/>
                    </pic:cNvPicPr>
                  </pic:nvPicPr>
                  <pic:blipFill>
                    <a:blip r:embed="rId78" cstate="print">
                      <a:extLst>
                        <a:ext uri="{BEBA8EAE-BF5A-486C-A8C5-ECC9F3942E4B}">
                          <a14:imgProps xmlns:a14="http://schemas.microsoft.com/office/drawing/2010/main">
                            <a14:imgLayer r:embed="rId7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3251193" cy="2608295"/>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303905" cy="2613025"/>
            <wp:effectExtent l="0" t="0" r="0" b="0"/>
            <wp:docPr id="144" name="Picture 144" descr="D:\STEM\AVTI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D:\STEM\AVTI 4.png"/>
                    <pic:cNvPicPr>
                      <a:picLocks noChangeAspect="1" noChangeArrowheads="1"/>
                    </pic:cNvPicPr>
                  </pic:nvPicPr>
                  <pic:blipFill>
                    <a:blip r:embed="rId80" cstate="print">
                      <a:extLst>
                        <a:ext uri="{BEBA8EAE-BF5A-486C-A8C5-ECC9F3942E4B}">
                          <a14:imgProps xmlns:a14="http://schemas.microsoft.com/office/drawing/2010/main">
                            <a14:imgLayer r:embed="rId8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a:xfrm>
                      <a:off x="0" y="0"/>
                      <a:ext cx="3367589" cy="2663941"/>
                    </a:xfrm>
                    <a:prstGeom prst="rect">
                      <a:avLst/>
                    </a:prstGeom>
                    <a:noFill/>
                    <a:ln>
                      <a:noFill/>
                    </a:ln>
                  </pic:spPr>
                </pic:pic>
              </a:graphicData>
            </a:graphic>
          </wp:inline>
        </w:drawing>
      </w:r>
    </w:p>
    <w:p w14:paraId="18CA1C5E">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Assembly, in collaboration with health officers and educational stakeholders, also conducted extensive sensitization and community engagement programmes targeting adolescents and the general population. These engagements focused on the risks associated with substance abuse, sexually transmitted infections, adolescent reproductive health, domestic violence, malaria prevention, and the promotion of condom use and home gardening among adolescent boys and girls. A little over thirty (30) schools and communities benefitted from these educational and health promotion engagements during the quarter. Adolescent clubs were also promoted in schools to encourage peer education and positive behavioural change among students.</w:t>
      </w:r>
    </w:p>
    <w:p w14:paraId="1CAEF5DA">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addition, School Performance Appraisal Meetings (SPAMs) and Annual District Education Review engagements were conducted during the reporting period to assess school performance, identify challenges affecting education delivery, and develop strategies to improve learning outcomes within the district. These review meetings also strengthened collaboration among education stakeholders and promoted accountability within the education sector.</w:t>
      </w:r>
    </w:p>
    <w:p w14:paraId="459400E9">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district also successfully organized the official Independence Day Celebration during the quarter as part of civic education and national identity promotion. The celebration provided students with the opportunity to participate in patriotic activities and deepen their understanding of national values, discipline, and citizenship responsibilities.</w:t>
      </w:r>
    </w:p>
    <w:p w14:paraId="33BDC52C">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education, youth, and sports development interventions implemented during the First Quarter of 2026 contributed significantly toward improving student welfare, strengthening teaching and learning, promoting sports and cultural development, and enhancing adolescent health awareness within the district. However, challenges such as inadequate educational infrastructure, limited logistics, and funding constraints continue to affect effective implementation of some educational programmes and activities. Continued investment and stakeholder collaboration will therefore be essential to sustain progress within the sector.</w:t>
      </w:r>
    </w:p>
    <w:p w14:paraId="1241F856">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 xml:space="preserve">Health Service Delivery in the District </w:t>
      </w:r>
    </w:p>
    <w:p w14:paraId="07E0BC6F">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the health sector, implemented programmes focused on preventive and promotive healthcare services. These included immunization outreach activities, health education on malaria prevention, adolescent health screening on non-communicable diseases, and family planning awareness creation. These interventions contributed to increased community awareness on disease prevention and improved access to essential health education services.</w:t>
      </w:r>
    </w:p>
    <w:p w14:paraId="44318275">
      <w:pPr>
        <w:spacing w:line="360" w:lineRule="auto"/>
        <w:jc w:val="both"/>
        <w:rPr>
          <w:rFonts w:ascii="Times New Roman" w:hAnsi="Times New Roman" w:cs="Times New Roman" w:eastAsiaTheme="majorEastAsia"/>
          <w:b/>
          <w:bCs/>
          <w:i/>
          <w:iCs/>
          <w:sz w:val="24"/>
          <w:szCs w:val="24"/>
        </w:rPr>
      </w:pPr>
      <w:r>
        <w:rPr>
          <w:rFonts w:ascii="Times New Roman" w:hAnsi="Times New Roman" w:cs="Times New Roman" w:eastAsiaTheme="majorEastAsia"/>
          <w:b/>
          <w:bCs/>
          <w:i/>
          <w:iCs/>
          <w:sz w:val="24"/>
          <w:szCs w:val="24"/>
        </w:rPr>
        <w:t>Environmental Health</w:t>
      </w:r>
    </w:p>
    <w:p w14:paraId="53A9A2D9">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Environmental Health Unit also implemented key sanitation and hygiene-related programmes. These included Community-Led Total Sanitation (CLTS) sensitization activities, WASH education campaigns, inspections of public eating and drinking establishments, National Sanitation Day mobilization and participation, as well as targeted public health education on hygiene practices. These activities contributed to improved sanitation awareness and environmental health compliance within communities.</w:t>
      </w:r>
    </w:p>
    <w:p w14:paraId="2DD94556">
      <w:pPr>
        <w:pStyle w:val="8"/>
        <w:keepNext/>
        <w:rPr>
          <w:color w:val="auto"/>
        </w:rPr>
      </w:pPr>
      <w:bookmarkStart w:id="57" w:name="_Toc229970880"/>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12</w:t>
      </w:r>
      <w:r>
        <w:rPr>
          <w:color w:val="auto"/>
        </w:rPr>
        <w:fldChar w:fldCharType="end"/>
      </w:r>
      <w:r>
        <w:rPr>
          <w:color w:val="auto"/>
        </w:rPr>
        <w:t>: NATIONAL SANITATION DAY CLEAN-UP EXERCISE OBSERVED IN THE DISTRICT</w:t>
      </w:r>
      <w:bookmarkEnd w:id="57"/>
    </w:p>
    <w:p w14:paraId="0345BA4E">
      <w:pPr>
        <w:rPr>
          <w:rFonts w:ascii="Times New Roman" w:hAnsi="Times New Roman" w:cs="Times New Roman"/>
          <w:lang w:val="en-GB"/>
        </w:rPr>
      </w:pPr>
      <w:r>
        <w:rPr>
          <w:rFonts w:ascii="Times New Roman" w:hAnsi="Times New Roman" w:cs="Times New Roman"/>
        </w:rPr>
        <w:drawing>
          <wp:inline distT="0" distB="0" distL="0" distR="0">
            <wp:extent cx="3268980" cy="4451350"/>
            <wp:effectExtent l="0" t="0" r="762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3280283" cy="4466741"/>
                    </a:xfrm>
                    <a:prstGeom prst="rect">
                      <a:avLst/>
                    </a:prstGeom>
                    <a:noFill/>
                    <a:ln>
                      <a:noFill/>
                    </a:ln>
                  </pic:spPr>
                </pic:pic>
              </a:graphicData>
            </a:graphic>
          </wp:inline>
        </w:drawing>
      </w:r>
      <w:r>
        <w:rPr>
          <w:rFonts w:ascii="Times New Roman" w:hAnsi="Times New Roman" w:cs="Times New Roman"/>
          <w:lang w:val="en-GB"/>
        </w:rPr>
        <w:t xml:space="preserve">  </w:t>
      </w:r>
      <w:r>
        <w:rPr>
          <w:rFonts w:ascii="Times New Roman" w:hAnsi="Times New Roman" w:cs="Times New Roman"/>
        </w:rPr>
        <w:drawing>
          <wp:inline distT="0" distB="0" distL="0" distR="0">
            <wp:extent cx="3285490" cy="44119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3318659" cy="4455687"/>
                    </a:xfrm>
                    <a:prstGeom prst="rect">
                      <a:avLst/>
                    </a:prstGeom>
                    <a:noFill/>
                    <a:ln>
                      <a:noFill/>
                    </a:ln>
                  </pic:spPr>
                </pic:pic>
              </a:graphicData>
            </a:graphic>
          </wp:inline>
        </w:drawing>
      </w:r>
    </w:p>
    <w:p w14:paraId="62D6A93A">
      <w:pPr>
        <w:pStyle w:val="8"/>
        <w:keepNext/>
        <w:rPr>
          <w:color w:val="auto"/>
        </w:rPr>
      </w:pPr>
      <w:bookmarkStart w:id="58" w:name="_Toc229970881"/>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13</w:t>
      </w:r>
      <w:r>
        <w:rPr>
          <w:color w:val="auto"/>
        </w:rPr>
        <w:fldChar w:fldCharType="end"/>
      </w:r>
      <w:r>
        <w:rPr>
          <w:color w:val="auto"/>
        </w:rPr>
        <w:t>: INAUGURATION OF E-WASTE MANAGEMENT COMMITTEE IN THE DISTRICT</w:t>
      </w:r>
      <w:bookmarkEnd w:id="58"/>
    </w:p>
    <w:p w14:paraId="60270B7B">
      <w:pPr>
        <w:pStyle w:val="13"/>
      </w:pPr>
      <w:r>
        <w:drawing>
          <wp:inline distT="0" distB="0" distL="0" distR="0">
            <wp:extent cx="3216275" cy="2863850"/>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3249174" cy="2893144"/>
                    </a:xfrm>
                    <a:prstGeom prst="rect">
                      <a:avLst/>
                    </a:prstGeom>
                    <a:noFill/>
                    <a:ln>
                      <a:noFill/>
                    </a:ln>
                  </pic:spPr>
                </pic:pic>
              </a:graphicData>
            </a:graphic>
          </wp:inline>
        </w:drawing>
      </w:r>
      <w:r>
        <w:t xml:space="preserve">  </w:t>
      </w:r>
      <w:r>
        <w:drawing>
          <wp:inline distT="0" distB="0" distL="0" distR="0">
            <wp:extent cx="3267710" cy="2825750"/>
            <wp:effectExtent l="0" t="0" r="8890" b="0"/>
            <wp:docPr id="63" name="Picture 63" descr="C:\Users\D\OneDrive\Desktop\4TH QRT PR 2025\E-WASTE PI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Users\D\OneDrive\Desktop\4TH QRT PR 2025\E-WASTE PIC.jpe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3293117" cy="2847966"/>
                    </a:xfrm>
                    <a:prstGeom prst="rect">
                      <a:avLst/>
                    </a:prstGeom>
                    <a:noFill/>
                    <a:ln>
                      <a:noFill/>
                    </a:ln>
                  </pic:spPr>
                </pic:pic>
              </a:graphicData>
            </a:graphic>
          </wp:inline>
        </w:drawing>
      </w:r>
    </w:p>
    <w:p w14:paraId="54F05FB9">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Social Protection in the District</w:t>
      </w:r>
    </w:p>
    <w:p w14:paraId="24952795">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the area of Social Protection, the Assembly through the Department of Social Welfare and Community Development implemented several social protection and community welfare interventions aimed at supporting vulnerable groups and promoting social inclusion within the district. Key activities undertaken during the quarter included public education and sensitization on the LEAP reassessment programme through community engagements and media outreach on Ananse FM.</w:t>
      </w:r>
    </w:p>
    <w:p w14:paraId="091C3DC6">
      <w:pPr>
        <w:pStyle w:val="8"/>
        <w:keepNext/>
        <w:rPr>
          <w:color w:val="auto"/>
        </w:rPr>
      </w:pPr>
      <w:bookmarkStart w:id="59" w:name="_Toc229970882"/>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14</w:t>
      </w:r>
      <w:r>
        <w:rPr>
          <w:color w:val="auto"/>
        </w:rPr>
        <w:fldChar w:fldCharType="end"/>
      </w:r>
      <w:r>
        <w:rPr>
          <w:color w:val="auto"/>
        </w:rPr>
        <w:t>: PUBLIC EDUCATION ON THE LEAP REASSESSMENT PROGRAMME ON ANANSE FM</w:t>
      </w:r>
      <w:bookmarkEnd w:id="59"/>
    </w:p>
    <w:p w14:paraId="1B7A82B7">
      <w:pPr>
        <w:rPr>
          <w:rFonts w:ascii="Times New Roman" w:hAnsi="Times New Roman" w:eastAsia="Calibri" w:cs="Times New Roman"/>
          <w:bCs/>
          <w:iCs/>
          <w:sz w:val="24"/>
          <w:szCs w:val="24"/>
        </w:rPr>
      </w:pPr>
      <w:r>
        <w:rPr>
          <w:rFonts w:ascii="Times New Roman" w:hAnsi="Times New Roman" w:eastAsia="Calibri" w:cs="Times New Roman"/>
          <w:bCs/>
          <w:iCs/>
          <w:sz w:val="24"/>
          <w:szCs w:val="24"/>
        </w:rPr>
        <w:drawing>
          <wp:inline distT="0" distB="0" distL="0" distR="0">
            <wp:extent cx="6648450" cy="2449830"/>
            <wp:effectExtent l="0" t="0" r="0" b="7620"/>
            <wp:docPr id="15777598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59894" name="Picture 1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6738332" cy="2482817"/>
                    </a:xfrm>
                    <a:prstGeom prst="rect">
                      <a:avLst/>
                    </a:prstGeom>
                    <a:noFill/>
                    <a:ln>
                      <a:noFill/>
                    </a:ln>
                  </pic:spPr>
                </pic:pic>
              </a:graphicData>
            </a:graphic>
          </wp:inline>
        </w:drawing>
      </w:r>
    </w:p>
    <w:p w14:paraId="45F55948">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Also, sensitization programmes were organized within LEAP beneficiary communities to educate households on the reassessment exercise and ensure effective participation in the programme. The department also conducted validation exercises for prospective LEAP household beneficiaries to ensure that eligible vulnerable households were properly identified and enrolled onto the programme.</w:t>
      </w:r>
    </w:p>
    <w:p w14:paraId="706EFED6">
      <w:pPr>
        <w:pStyle w:val="8"/>
        <w:keepNext/>
        <w:rPr>
          <w:color w:val="auto"/>
        </w:rPr>
      </w:pPr>
      <w:bookmarkStart w:id="60" w:name="_Toc229970883"/>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15</w:t>
      </w:r>
      <w:r>
        <w:rPr>
          <w:color w:val="auto"/>
        </w:rPr>
        <w:fldChar w:fldCharType="end"/>
      </w:r>
      <w:r>
        <w:rPr>
          <w:color w:val="auto"/>
        </w:rPr>
        <w:t>: SENSITIZATION ON THE LEAP REASSESSMENT PROGRAMME IN THE DISTRICT</w:t>
      </w:r>
      <w:bookmarkEnd w:id="60"/>
    </w:p>
    <w:p w14:paraId="6D335638">
      <w:pPr>
        <w:rPr>
          <w:rFonts w:ascii="Times New Roman" w:hAnsi="Times New Roman" w:eastAsia="Calibri" w:cs="Times New Roman"/>
          <w:bCs/>
          <w:iCs/>
          <w:sz w:val="24"/>
          <w:szCs w:val="24"/>
        </w:rPr>
      </w:pPr>
      <w:r>
        <w:rPr>
          <w:rFonts w:ascii="Times New Roman" w:hAnsi="Times New Roman" w:eastAsia="Calibri" w:cs="Times New Roman"/>
          <w:bCs/>
          <w:iCs/>
          <w:sz w:val="24"/>
          <w:szCs w:val="24"/>
        </w:rPr>
        <w:drawing>
          <wp:inline distT="0" distB="0" distL="0" distR="0">
            <wp:extent cx="3104515" cy="1885950"/>
            <wp:effectExtent l="0" t="0" r="635" b="0"/>
            <wp:docPr id="13461572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57234"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3121020" cy="1895977"/>
                    </a:xfrm>
                    <a:prstGeom prst="rect">
                      <a:avLst/>
                    </a:prstGeom>
                    <a:noFill/>
                    <a:ln>
                      <a:noFill/>
                    </a:ln>
                  </pic:spPr>
                </pic:pic>
              </a:graphicData>
            </a:graphic>
          </wp:inline>
        </w:drawing>
      </w:r>
      <w:r>
        <w:rPr>
          <w:rFonts w:ascii="Times New Roman" w:hAnsi="Times New Roman" w:eastAsia="Calibri" w:cs="Times New Roman"/>
          <w:bCs/>
          <w:iCs/>
          <w:sz w:val="24"/>
          <w:szCs w:val="24"/>
        </w:rPr>
        <w:t xml:space="preserve">  </w:t>
      </w:r>
      <w:r>
        <w:rPr>
          <w:rFonts w:ascii="Times New Roman" w:hAnsi="Times New Roman" w:eastAsia="Calibri" w:cs="Times New Roman"/>
          <w:bCs/>
          <w:iCs/>
          <w:sz w:val="24"/>
          <w:szCs w:val="24"/>
        </w:rPr>
        <w:drawing>
          <wp:inline distT="0" distB="0" distL="0" distR="0">
            <wp:extent cx="3406775" cy="1879600"/>
            <wp:effectExtent l="0" t="0" r="3175" b="6350"/>
            <wp:docPr id="5573248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24856"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3448856" cy="1902817"/>
                    </a:xfrm>
                    <a:prstGeom prst="rect">
                      <a:avLst/>
                    </a:prstGeom>
                    <a:noFill/>
                    <a:ln>
                      <a:noFill/>
                    </a:ln>
                  </pic:spPr>
                </pic:pic>
              </a:graphicData>
            </a:graphic>
          </wp:inline>
        </w:drawing>
      </w:r>
    </w:p>
    <w:p w14:paraId="657F938F">
      <w:pPr>
        <w:pStyle w:val="8"/>
        <w:keepNext/>
        <w:rPr>
          <w:color w:val="auto"/>
        </w:rPr>
      </w:pPr>
      <w:bookmarkStart w:id="61" w:name="_Toc229970884"/>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16</w:t>
      </w:r>
      <w:r>
        <w:rPr>
          <w:color w:val="auto"/>
        </w:rPr>
        <w:fldChar w:fldCharType="end"/>
      </w:r>
      <w:r>
        <w:rPr>
          <w:color w:val="auto"/>
        </w:rPr>
        <w:t>: VALIDATION OF LEAP PROSPECTIVE HOUSEHOLD MEMBERS</w:t>
      </w:r>
      <w:bookmarkEnd w:id="61"/>
    </w:p>
    <w:p w14:paraId="6A4CC078">
      <w:pPr>
        <w:rPr>
          <w:rFonts w:ascii="Times New Roman" w:hAnsi="Times New Roman" w:cs="Times New Roman"/>
          <w:lang w:val="en-GB"/>
        </w:rPr>
      </w:pPr>
      <w:r>
        <w:rPr>
          <w:rFonts w:ascii="Times New Roman" w:hAnsi="Times New Roman" w:cs="Times New Roman"/>
        </w:rPr>
        <w:drawing>
          <wp:inline distT="0" distB="0" distL="0" distR="0">
            <wp:extent cx="3190875" cy="2152650"/>
            <wp:effectExtent l="0" t="0" r="9525" b="0"/>
            <wp:docPr id="1778717648" name="Picture 3"/>
            <wp:cNvGraphicFramePr/>
            <a:graphic xmlns:a="http://schemas.openxmlformats.org/drawingml/2006/main">
              <a:graphicData uri="http://schemas.openxmlformats.org/drawingml/2006/picture">
                <pic:pic xmlns:pic="http://schemas.openxmlformats.org/drawingml/2006/picture">
                  <pic:nvPicPr>
                    <pic:cNvPr id="1778717648" name="Picture 3"/>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231117" cy="2179798"/>
                    </a:xfrm>
                    <a:prstGeom prst="rect">
                      <a:avLst/>
                    </a:prstGeom>
                    <a:noFill/>
                    <a:ln>
                      <a:noFill/>
                    </a:ln>
                  </pic:spPr>
                </pic:pic>
              </a:graphicData>
            </a:graphic>
          </wp:inline>
        </w:drawing>
      </w:r>
      <w:r>
        <w:rPr>
          <w:rFonts w:ascii="Times New Roman" w:hAnsi="Times New Roman" w:cs="Times New Roman"/>
          <w:lang w:val="en-GB"/>
        </w:rPr>
        <w:t xml:space="preserve">   </w:t>
      </w:r>
      <w:r>
        <w:rPr>
          <w:rFonts w:ascii="Times New Roman" w:hAnsi="Times New Roman" w:cs="Times New Roman"/>
        </w:rPr>
        <w:drawing>
          <wp:inline distT="0" distB="0" distL="0" distR="0">
            <wp:extent cx="3293110" cy="2086610"/>
            <wp:effectExtent l="0" t="0" r="2540" b="8890"/>
            <wp:docPr id="1856750790" name="Picture 1"/>
            <wp:cNvGraphicFramePr/>
            <a:graphic xmlns:a="http://schemas.openxmlformats.org/drawingml/2006/main">
              <a:graphicData uri="http://schemas.openxmlformats.org/drawingml/2006/picture">
                <pic:pic xmlns:pic="http://schemas.openxmlformats.org/drawingml/2006/picture">
                  <pic:nvPicPr>
                    <pic:cNvPr id="1856750790" name="Picture 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338323" cy="2115747"/>
                    </a:xfrm>
                    <a:prstGeom prst="rect">
                      <a:avLst/>
                    </a:prstGeom>
                    <a:noFill/>
                    <a:ln>
                      <a:noFill/>
                    </a:ln>
                  </pic:spPr>
                </pic:pic>
              </a:graphicData>
            </a:graphic>
          </wp:inline>
        </w:drawing>
      </w:r>
    </w:p>
    <w:p w14:paraId="1D80AE89">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addition, the Assembly monitored Persons with Disabilities (PWDs) who had previously received start-up kits under the Disability Common Fund support programme. The monitoring exercise was conducted from 10th to 11th March 2026 across communities including Amuana Praso, Akoase, Tenkyemso, Kyenkyenku, Mamanso, Old Abirem, and Praso Kuma. A total of fifteen (15) PWD beneficiaries comprising eight (8) males and seven (7) females were engaged to assess the progress and sustainability of their economic activities after receiving the support kits.</w:t>
      </w:r>
    </w:p>
    <w:p w14:paraId="6CB489AB">
      <w:pPr>
        <w:pStyle w:val="8"/>
        <w:keepNext/>
        <w:jc w:val="both"/>
        <w:rPr>
          <w:color w:val="auto"/>
        </w:rPr>
      </w:pPr>
      <w:bookmarkStart w:id="62" w:name="_Toc229970885"/>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17</w:t>
      </w:r>
      <w:r>
        <w:rPr>
          <w:color w:val="auto"/>
        </w:rPr>
        <w:fldChar w:fldCharType="end"/>
      </w:r>
      <w:r>
        <w:rPr>
          <w:color w:val="auto"/>
        </w:rPr>
        <w:t>: MONITORING OF PWD ACTIVITIES IN THE DISTRICT</w:t>
      </w:r>
      <w:bookmarkEnd w:id="62"/>
    </w:p>
    <w:p w14:paraId="65126565">
      <w:pPr>
        <w:spacing w:line="240" w:lineRule="auto"/>
        <w:jc w:val="both"/>
        <w:rPr>
          <w:rFonts w:ascii="Times New Roman" w:hAnsi="Times New Roman" w:eastAsia="Calibri" w:cs="Times New Roman"/>
          <w:sz w:val="24"/>
          <w:szCs w:val="24"/>
        </w:rPr>
      </w:pPr>
      <w:r>
        <w:rPr>
          <w:rFonts w:ascii="Times New Roman" w:hAnsi="Times New Roman" w:cs="Times New Roman"/>
        </w:rPr>
        <w:drawing>
          <wp:inline distT="0" distB="0" distL="0" distR="0">
            <wp:extent cx="3225800" cy="2397760"/>
            <wp:effectExtent l="0" t="0" r="0" b="2540"/>
            <wp:docPr id="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269733" cy="2430804"/>
                    </a:xfrm>
                    <a:prstGeom prst="rect">
                      <a:avLst/>
                    </a:prstGeom>
                  </pic:spPr>
                </pic:pic>
              </a:graphicData>
            </a:graphic>
          </wp:inline>
        </w:drawing>
      </w:r>
      <w:r>
        <w:rPr>
          <w:rFonts w:ascii="Times New Roman" w:hAnsi="Times New Roman" w:eastAsia="Calibri" w:cs="Times New Roman"/>
          <w:sz w:val="24"/>
          <w:szCs w:val="24"/>
        </w:rPr>
        <w:t xml:space="preserve">  </w:t>
      </w:r>
      <w:r>
        <w:rPr>
          <w:rFonts w:ascii="Times New Roman" w:hAnsi="Times New Roman" w:cs="Times New Roman"/>
        </w:rPr>
        <w:drawing>
          <wp:inline distT="0" distB="0" distL="0" distR="0">
            <wp:extent cx="3294380" cy="2380615"/>
            <wp:effectExtent l="0" t="0" r="1270" b="635"/>
            <wp:docPr id="2083032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32905" name="Picture 1"/>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341706" cy="2414701"/>
                    </a:xfrm>
                    <a:prstGeom prst="rect">
                      <a:avLst/>
                    </a:prstGeom>
                  </pic:spPr>
                </pic:pic>
              </a:graphicData>
            </a:graphic>
          </wp:inline>
        </w:drawing>
      </w:r>
    </w:p>
    <w:p w14:paraId="0DC8D2B3">
      <w:pPr>
        <w:spacing w:line="240" w:lineRule="auto"/>
        <w:jc w:val="both"/>
        <w:rPr>
          <w:rFonts w:ascii="Times New Roman" w:hAnsi="Times New Roman" w:eastAsia="Calibri" w:cs="Times New Roman"/>
          <w:sz w:val="24"/>
          <w:szCs w:val="24"/>
        </w:rPr>
      </w:pPr>
      <w:r>
        <w:rPr>
          <w:rFonts w:ascii="Times New Roman" w:hAnsi="Times New Roman" w:cs="Times New Roman"/>
        </w:rPr>
        <w:drawing>
          <wp:inline distT="0" distB="0" distL="0" distR="0">
            <wp:extent cx="2230120" cy="6635115"/>
            <wp:effectExtent l="7302" t="0" r="6033" b="6032"/>
            <wp:docPr id="10051235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23595" name="Picture 4"/>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a:xfrm rot="5400000">
                      <a:off x="0" y="0"/>
                      <a:ext cx="2257041" cy="6713885"/>
                    </a:xfrm>
                    <a:prstGeom prst="rect">
                      <a:avLst/>
                    </a:prstGeom>
                    <a:noFill/>
                    <a:ln>
                      <a:noFill/>
                    </a:ln>
                  </pic:spPr>
                </pic:pic>
              </a:graphicData>
            </a:graphic>
          </wp:inline>
        </w:drawing>
      </w:r>
    </w:p>
    <w:p w14:paraId="6C47CBEE">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Assembly also continued community sensitization and awareness creation on child protection, teenage pregnancy, domestic violence, gender-based violence, HIV/AIDS prevention, and social welfare counselling services during the reporting period. These interventions contributed toward improving public awareness, protecting vulnerable persons, and strengthening social welfare service delivery within the district.</w:t>
      </w:r>
    </w:p>
    <w:p w14:paraId="19675E6D">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 xml:space="preserve">Birth and Death Registration </w:t>
      </w:r>
    </w:p>
    <w:p w14:paraId="2D9E43E8">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Birth and Death Registry carried out public education and sensitization activities on the importance of registration of births and deaths, as well as mobile registration outreach exercises to improve registration coverage within communities. These interventions enhanced public awareness and improved access to vital registration services.</w:t>
      </w:r>
    </w:p>
    <w:p w14:paraId="2B9FD9A0">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Governance and institutional administration</w:t>
      </w:r>
    </w:p>
    <w:p w14:paraId="2E6C8766">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the area of Governance and Institutional Administration, the Birim North District Assembly strengthened administrative coordination and oversight through the implementation of statutory meetings, management sessions, sub-committee meetings,</w:t>
      </w:r>
      <w:r>
        <w:rPr>
          <w:rFonts w:ascii="Times New Roman" w:hAnsi="Times New Roman" w:cs="Times New Roman" w:eastAsiaTheme="majorEastAsia"/>
          <w:sz w:val="24"/>
          <w:szCs w:val="24"/>
          <w:lang w:val="zh-CN"/>
        </w:rPr>
        <w:t xml:space="preserve"> </w:t>
      </w:r>
      <w:r>
        <w:rPr>
          <w:rFonts w:ascii="Times New Roman" w:hAnsi="Times New Roman" w:cs="Times New Roman" w:eastAsiaTheme="majorEastAsia"/>
          <w:sz w:val="24"/>
          <w:szCs w:val="24"/>
        </w:rPr>
        <w:t>executive committee meetings</w:t>
      </w:r>
      <w:r>
        <w:rPr>
          <w:rFonts w:ascii="Times New Roman" w:hAnsi="Times New Roman" w:cs="Times New Roman" w:eastAsiaTheme="majorEastAsia"/>
          <w:sz w:val="24"/>
          <w:szCs w:val="24"/>
          <w:lang w:val="zh-CN"/>
        </w:rPr>
        <w:t>, DPCU meetings, and Budget committee meetings</w:t>
      </w:r>
      <w:r>
        <w:rPr>
          <w:rFonts w:ascii="Times New Roman" w:hAnsi="Times New Roman" w:cs="Times New Roman" w:eastAsiaTheme="majorEastAsia"/>
          <w:sz w:val="24"/>
          <w:szCs w:val="24"/>
        </w:rPr>
        <w:t>. These platforms supported effective decision-making, improved inter-departmental collaboration, and enhanced overall institutional efficiency. Capacity-building programmes were also organized for staff and revenue collectors to improve performance and strengthen local revenue mobilization.</w:t>
      </w:r>
    </w:p>
    <w:p w14:paraId="5607CC8A">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The quarter also featured key public and civic engagement activities, notably the celebration of Independence Day, which promoted patriotism, civic responsibility, and community participation in governance processes within the district. </w:t>
      </w:r>
      <w:bookmarkStart w:id="63" w:name="_Toc229970886"/>
    </w:p>
    <w:p w14:paraId="69F342CA">
      <w:pPr>
        <w:spacing w:line="360" w:lineRule="auto"/>
        <w:jc w:val="both"/>
      </w:pPr>
      <w:r>
        <w:t xml:space="preserve">Figure </w:t>
      </w:r>
      <w:r>
        <w:fldChar w:fldCharType="begin"/>
      </w:r>
      <w:r>
        <w:instrText xml:space="preserve"> SEQ Figure \* ARABIC </w:instrText>
      </w:r>
      <w:r>
        <w:fldChar w:fldCharType="separate"/>
      </w:r>
      <w:r>
        <w:t>18</w:t>
      </w:r>
      <w:r>
        <w:fldChar w:fldCharType="end"/>
      </w:r>
      <w:r>
        <w:t>: CELEBRATION OF INDEPENDENCE DAY IN THE DISTRICT</w:t>
      </w:r>
      <w:bookmarkEnd w:id="63"/>
    </w:p>
    <w:p w14:paraId="34562596">
      <w:pPr>
        <w:rPr>
          <w:rFonts w:ascii="Times New Roman" w:hAnsi="Times New Roman" w:cs="Times New Roman"/>
        </w:rPr>
      </w:pPr>
      <w:r>
        <w:rPr>
          <w:rFonts w:ascii="Times New Roman" w:hAnsi="Times New Roman" w:cs="Times New Roman"/>
        </w:rPr>
        <w:drawing>
          <wp:inline distT="0" distB="0" distL="0" distR="0">
            <wp:extent cx="3277235" cy="2303145"/>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3318701" cy="2332020"/>
                    </a:xfrm>
                    <a:prstGeom prst="rect">
                      <a:avLst/>
                    </a:prstGeom>
                    <a:noFill/>
                    <a:ln>
                      <a:noFill/>
                    </a:ln>
                  </pic:spPr>
                </pic:pic>
              </a:graphicData>
            </a:graphic>
          </wp:inline>
        </w:drawing>
      </w:r>
      <w:r>
        <w:rPr>
          <w:rFonts w:ascii="Times New Roman" w:hAnsi="Times New Roman" w:cs="Times New Roman"/>
          <w:lang w:val="en-GB"/>
        </w:rPr>
        <w:t xml:space="preserve"> </w:t>
      </w:r>
      <w:r>
        <w:rPr>
          <w:rFonts w:ascii="Times New Roman" w:hAnsi="Times New Roman" w:cs="Times New Roman"/>
        </w:rPr>
        <w:t xml:space="preserve"> </w:t>
      </w:r>
      <w:r>
        <w:rPr>
          <w:rFonts w:ascii="Times New Roman" w:hAnsi="Times New Roman" w:cs="Times New Roman"/>
        </w:rPr>
        <w:drawing>
          <wp:inline distT="0" distB="0" distL="0" distR="0">
            <wp:extent cx="3285490" cy="230314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347813" cy="2346811"/>
                    </a:xfrm>
                    <a:prstGeom prst="rect">
                      <a:avLst/>
                    </a:prstGeom>
                    <a:noFill/>
                    <a:ln>
                      <a:noFill/>
                    </a:ln>
                  </pic:spPr>
                </pic:pic>
              </a:graphicData>
            </a:graphic>
          </wp:inline>
        </w:drawing>
      </w:r>
    </w:p>
    <w:p w14:paraId="67ECBC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the district benefited from high-level monitoring and supervisory visits aimed at strengthening accountability and improving service delivery. The Head of the Local Government Service, Professor Lord Mensah, conducted a working visit to assess administrative performance and institutional effectiveness. </w:t>
      </w:r>
    </w:p>
    <w:p w14:paraId="05FD1231">
      <w:pPr>
        <w:pStyle w:val="8"/>
        <w:keepNext/>
        <w:rPr>
          <w:color w:val="auto"/>
        </w:rPr>
      </w:pPr>
      <w:bookmarkStart w:id="64" w:name="_Toc229970887"/>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19</w:t>
      </w:r>
      <w:r>
        <w:rPr>
          <w:color w:val="auto"/>
        </w:rPr>
        <w:fldChar w:fldCharType="end"/>
      </w:r>
      <w:r>
        <w:rPr>
          <w:color w:val="auto"/>
        </w:rPr>
        <w:t>: WORKING VISIT BY PROF. LORD MENSAH-HEAD OF LOCAL GOVERNMENT SERVICE</w:t>
      </w:r>
      <w:bookmarkEnd w:id="64"/>
    </w:p>
    <w:p w14:paraId="58AF9A98">
      <w:pPr>
        <w:rPr>
          <w:rFonts w:ascii="Times New Roman" w:hAnsi="Times New Roman" w:cs="Times New Roman"/>
          <w:lang w:val="en-GB"/>
        </w:rPr>
      </w:pPr>
      <w:r>
        <w:rPr>
          <w:rFonts w:ascii="Times New Roman" w:hAnsi="Times New Roman" w:cs="Times New Roman"/>
        </w:rPr>
        <w:drawing>
          <wp:inline distT="0" distB="0" distL="0" distR="0">
            <wp:extent cx="6598285" cy="4572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6744289" cy="4673167"/>
                    </a:xfrm>
                    <a:prstGeom prst="rect">
                      <a:avLst/>
                    </a:prstGeom>
                    <a:noFill/>
                    <a:ln>
                      <a:noFill/>
                    </a:ln>
                  </pic:spPr>
                </pic:pic>
              </a:graphicData>
            </a:graphic>
          </wp:inline>
        </w:drawing>
      </w:r>
    </w:p>
    <w:p w14:paraId="63CAAD48">
      <w:pPr>
        <w:spacing w:line="360" w:lineRule="auto"/>
        <w:jc w:val="both"/>
        <w:rPr>
          <w:rFonts w:ascii="Times New Roman" w:hAnsi="Times New Roman" w:cs="Times New Roman"/>
          <w:sz w:val="24"/>
          <w:szCs w:val="24"/>
        </w:rPr>
      </w:pPr>
      <w:r>
        <w:rPr>
          <w:rFonts w:ascii="Times New Roman" w:hAnsi="Times New Roman" w:cs="Times New Roman"/>
          <w:sz w:val="24"/>
          <w:szCs w:val="24"/>
        </w:rPr>
        <w:t>The Eastern Regional Minister, Hon. Rita Awatey, also undertook a monitoring visit focused on ongoing physical development projects to ensure quality, compliance, and timely execution.</w:t>
      </w:r>
    </w:p>
    <w:p w14:paraId="71668ADB">
      <w:pPr>
        <w:pStyle w:val="8"/>
        <w:keepNext/>
        <w:rPr>
          <w:color w:val="auto"/>
        </w:rPr>
      </w:pPr>
      <w:bookmarkStart w:id="65" w:name="_Toc229970888"/>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20</w:t>
      </w:r>
      <w:r>
        <w:rPr>
          <w:color w:val="auto"/>
        </w:rPr>
        <w:fldChar w:fldCharType="end"/>
      </w:r>
      <w:r>
        <w:rPr>
          <w:color w:val="auto"/>
        </w:rPr>
        <w:t>: WORKING VISIT/ MONITORING OF PROJECTS BY HON. RITA AWATEY- EASTERN REGIONAL MINISTER</w:t>
      </w:r>
      <w:bookmarkEnd w:id="65"/>
    </w:p>
    <w:p w14:paraId="05E9DC63">
      <w:pPr>
        <w:rPr>
          <w:rFonts w:ascii="Times New Roman" w:hAnsi="Times New Roman" w:cs="Times New Roman"/>
          <w:lang w:val="en-GB"/>
        </w:rPr>
      </w:pPr>
      <w:r>
        <w:rPr>
          <w:rFonts w:ascii="Times New Roman" w:hAnsi="Times New Roman" w:cs="Times New Roman"/>
        </w:rPr>
        <w:drawing>
          <wp:inline distT="0" distB="0" distL="0" distR="0">
            <wp:extent cx="3234055" cy="3016250"/>
            <wp:effectExtent l="0" t="0" r="4445" b="0"/>
            <wp:docPr id="915901442" name="Picture 915901442" descr="C:\Users\Frederick Antwi\Desktop\1QTR PIX -26\IMG-20260506-WA0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2" name="Picture 915901442" descr="C:\Users\Frederick Antwi\Desktop\1QTR PIX -26\IMG-20260506-WA0024(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275571" cy="3054970"/>
                    </a:xfrm>
                    <a:prstGeom prst="rect">
                      <a:avLst/>
                    </a:prstGeom>
                    <a:noFill/>
                    <a:ln>
                      <a:noFill/>
                    </a:ln>
                  </pic:spPr>
                </pic:pic>
              </a:graphicData>
            </a:graphic>
          </wp:inline>
        </w:drawing>
      </w:r>
      <w:r>
        <w:rPr>
          <w:rFonts w:ascii="Times New Roman" w:hAnsi="Times New Roman" w:cs="Times New Roman"/>
          <w:lang w:val="en-GB"/>
        </w:rPr>
        <w:t xml:space="preserve">  </w:t>
      </w:r>
      <w:r>
        <w:rPr>
          <w:rFonts w:ascii="Times New Roman" w:hAnsi="Times New Roman" w:cs="Times New Roman"/>
        </w:rPr>
        <w:drawing>
          <wp:inline distT="0" distB="0" distL="0" distR="0">
            <wp:extent cx="3292475" cy="2982595"/>
            <wp:effectExtent l="0" t="0" r="3175" b="8255"/>
            <wp:docPr id="54" name="Picture 54" descr="C:\Users\Frederick Antwi\Desktop\1QTR PIX -26\IMG-20260506-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Users\Frederick Antwi\Desktop\1QTR PIX -26\IMG-20260506-WA0025.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3327350" cy="3013686"/>
                    </a:xfrm>
                    <a:prstGeom prst="rect">
                      <a:avLst/>
                    </a:prstGeom>
                    <a:noFill/>
                    <a:ln>
                      <a:noFill/>
                    </a:ln>
                  </pic:spPr>
                </pic:pic>
              </a:graphicData>
            </a:graphic>
          </wp:inline>
        </w:drawing>
      </w:r>
    </w:p>
    <w:p w14:paraId="77B879EF">
      <w:pPr>
        <w:spacing w:line="360" w:lineRule="auto"/>
        <w:jc w:val="both"/>
        <w:rPr>
          <w:rFonts w:ascii="Times New Roman" w:hAnsi="Times New Roman" w:cs="Times New Roman"/>
          <w:sz w:val="24"/>
          <w:szCs w:val="24"/>
        </w:rPr>
      </w:pPr>
      <w:r>
        <w:rPr>
          <w:rFonts w:ascii="Times New Roman" w:hAnsi="Times New Roman" w:cs="Times New Roman"/>
          <w:sz w:val="24"/>
          <w:szCs w:val="24"/>
        </w:rPr>
        <w:t>At the district level, internal monitoring of projects was led by the District Chief Executive, Hon. Abdul Hakim Antwi, who supervised various ongoing development interventions to ensure progress, transparency, and value for money.</w:t>
      </w:r>
    </w:p>
    <w:p w14:paraId="7B2AB9F6">
      <w:pPr>
        <w:pStyle w:val="8"/>
        <w:keepNext/>
        <w:rPr>
          <w:color w:val="auto"/>
        </w:rPr>
      </w:pPr>
      <w:bookmarkStart w:id="66" w:name="_Toc229970889"/>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21</w:t>
      </w:r>
      <w:r>
        <w:rPr>
          <w:color w:val="auto"/>
        </w:rPr>
        <w:fldChar w:fldCharType="end"/>
      </w:r>
      <w:r>
        <w:rPr>
          <w:color w:val="auto"/>
        </w:rPr>
        <w:t>: INTERNAL MONITORING OF PROJECTS LED BY HON. ABDUL HAKIM ANTWI- DCE</w:t>
      </w:r>
      <w:bookmarkEnd w:id="66"/>
    </w:p>
    <w:p w14:paraId="312D0130">
      <w:pPr>
        <w:rPr>
          <w:rFonts w:ascii="Times New Roman" w:hAnsi="Times New Roman" w:eastAsia="Calibri" w:cs="Times New Roman"/>
          <w:b/>
          <w:bCs/>
          <w:sz w:val="24"/>
          <w:szCs w:val="24"/>
        </w:rPr>
      </w:pPr>
      <w:r>
        <w:rPr>
          <w:rFonts w:ascii="Times New Roman" w:hAnsi="Times New Roman" w:eastAsia="Calibri" w:cs="Times New Roman"/>
        </w:rPr>
        <w:drawing>
          <wp:inline distT="0" distB="0" distL="0" distR="0">
            <wp:extent cx="3301365" cy="2586990"/>
            <wp:effectExtent l="0" t="0" r="0" b="3810"/>
            <wp:docPr id="1291975336" name="Picture 129197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75336" name="Picture 129197533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3338529" cy="2616069"/>
                    </a:xfrm>
                    <a:prstGeom prst="rect">
                      <a:avLst/>
                    </a:prstGeom>
                    <a:noFill/>
                    <a:ln>
                      <a:noFill/>
                    </a:ln>
                  </pic:spPr>
                </pic:pic>
              </a:graphicData>
            </a:graphic>
          </wp:inline>
        </w:drawing>
      </w:r>
      <w:r>
        <w:rPr>
          <w:rFonts w:ascii="Times New Roman" w:hAnsi="Times New Roman" w:eastAsia="Calibri" w:cs="Times New Roman"/>
          <w:b/>
          <w:bCs/>
          <w:sz w:val="24"/>
          <w:szCs w:val="24"/>
        </w:rPr>
        <w:t xml:space="preserve">  </w:t>
      </w:r>
      <w:r>
        <w:rPr>
          <w:rFonts w:ascii="Times New Roman" w:hAnsi="Times New Roman" w:eastAsia="Calibri" w:cs="Times New Roman"/>
        </w:rPr>
        <w:drawing>
          <wp:inline distT="0" distB="0" distL="0" distR="0">
            <wp:extent cx="3217545" cy="2587625"/>
            <wp:effectExtent l="0" t="0" r="190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261469" cy="2622862"/>
                    </a:xfrm>
                    <a:prstGeom prst="rect">
                      <a:avLst/>
                    </a:prstGeom>
                    <a:noFill/>
                    <a:ln>
                      <a:noFill/>
                    </a:ln>
                  </pic:spPr>
                </pic:pic>
              </a:graphicData>
            </a:graphic>
          </wp:inline>
        </w:drawing>
      </w:r>
    </w:p>
    <w:p w14:paraId="26935ACB">
      <w:pPr>
        <w:spacing w:line="360" w:lineRule="auto"/>
        <w:jc w:val="both"/>
        <w:rPr>
          <w:rFonts w:ascii="Times New Roman" w:hAnsi="Times New Roman" w:cs="Times New Roman" w:eastAsiaTheme="majorEastAsia"/>
          <w:b/>
          <w:i/>
          <w:sz w:val="24"/>
          <w:szCs w:val="24"/>
        </w:rPr>
      </w:pPr>
      <w:r>
        <w:rPr>
          <w:rFonts w:ascii="Times New Roman" w:hAnsi="Times New Roman" w:cs="Times New Roman" w:eastAsiaTheme="majorEastAsia"/>
          <w:b/>
          <w:i/>
          <w:sz w:val="24"/>
          <w:szCs w:val="24"/>
        </w:rPr>
        <w:t xml:space="preserve">Disaster Management in the District </w:t>
      </w:r>
    </w:p>
    <w:p w14:paraId="7E0ED4BD">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During the First Quarter of 2026, the National Disaster Management Organization (NADMO) Unit of the Birim North District Assembly implemented disaster prevention and public education activities aimed at improving disaster preparedness and community resilience within the district. Sensitization programmes were organized for Disaster Volunteer Groups (DVGs) and community members on flood prevention, bushfire control, safety protocols, and environmental risk management.</w:t>
      </w:r>
    </w:p>
    <w:p w14:paraId="1A04634E">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The Assembly also undertook community engagement and public education campaigns on proper waste disposal, prevention of indiscriminate burning, and other disaster prevention measures to reduce risks within vulnerable communities.</w:t>
      </w:r>
    </w:p>
    <w:p w14:paraId="35625891">
      <w:pPr>
        <w:pStyle w:val="8"/>
        <w:keepNext/>
        <w:rPr>
          <w:color w:val="auto"/>
        </w:rPr>
      </w:pPr>
      <w:bookmarkStart w:id="67" w:name="_Toc229970890"/>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22</w:t>
      </w:r>
      <w:r>
        <w:rPr>
          <w:color w:val="auto"/>
        </w:rPr>
        <w:fldChar w:fldCharType="end"/>
      </w:r>
      <w:r>
        <w:rPr>
          <w:color w:val="auto"/>
        </w:rPr>
        <w:t>: SENSITIZATION OF DISASTER VOLUNTEER GROUPS (DVGS) ON SAFETY PROTOCOLS</w:t>
      </w:r>
      <w:bookmarkEnd w:id="67"/>
    </w:p>
    <w:p w14:paraId="18EC731E">
      <w:pPr>
        <w:rPr>
          <w:rFonts w:ascii="Times New Roman" w:hAnsi="Times New Roman" w:cs="Times New Roman"/>
        </w:rPr>
      </w:pPr>
      <w:r>
        <w:rPr>
          <w:rFonts w:ascii="Times New Roman" w:hAnsi="Times New Roman" w:cs="Times New Roman"/>
        </w:rPr>
        <w:drawing>
          <wp:inline distT="0" distB="0" distL="0" distR="0">
            <wp:extent cx="3318510" cy="2397760"/>
            <wp:effectExtent l="0" t="0" r="0" b="254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3372659" cy="2437136"/>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215640" cy="2380615"/>
            <wp:effectExtent l="0" t="0" r="381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3281943" cy="2429714"/>
                    </a:xfrm>
                    <a:prstGeom prst="rect">
                      <a:avLst/>
                    </a:prstGeom>
                    <a:noFill/>
                  </pic:spPr>
                </pic:pic>
              </a:graphicData>
            </a:graphic>
          </wp:inline>
        </w:drawing>
      </w:r>
    </w:p>
    <w:p w14:paraId="42090177">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In addition, relief items were distributed to disaster victims within the district to support affected households. Items distributed included rice, maize, cooking oil, roofing sheets, rubber buckets, and rubber bowls.</w:t>
      </w:r>
    </w:p>
    <w:p w14:paraId="6E8A1B94">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Overall, the activities implemented during the quarter contributed toward strengthening disaster preparedness, improving public awareness, and enhancing emergency response mechanisms within the district.</w:t>
      </w:r>
    </w:p>
    <w:p w14:paraId="4350E571">
      <w:pPr>
        <w:pStyle w:val="8"/>
        <w:keepNext/>
        <w:rPr>
          <w:color w:val="auto"/>
        </w:rPr>
      </w:pPr>
      <w:bookmarkStart w:id="68" w:name="_Toc229970891"/>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23</w:t>
      </w:r>
      <w:r>
        <w:rPr>
          <w:color w:val="auto"/>
        </w:rPr>
        <w:fldChar w:fldCharType="end"/>
      </w:r>
      <w:r>
        <w:rPr>
          <w:color w:val="auto"/>
        </w:rPr>
        <w:t>: DISTRIBUTION OF RELIEF ITEMS TO DISASTER VICTIMS IN THE DISTRICT</w:t>
      </w:r>
      <w:bookmarkEnd w:id="68"/>
    </w:p>
    <w:p w14:paraId="117EF074">
      <w:pPr>
        <w:rPr>
          <w:rFonts w:ascii="Times New Roman" w:hAnsi="Times New Roman" w:cs="Times New Roman"/>
          <w:b/>
        </w:rPr>
      </w:pPr>
      <w:r>
        <w:rPr>
          <w:rFonts w:ascii="Times New Roman" w:hAnsi="Times New Roman" w:cs="Times New Roman"/>
          <w:b/>
        </w:rPr>
        <w:drawing>
          <wp:inline distT="0" distB="0" distL="0" distR="0">
            <wp:extent cx="3302635" cy="2320290"/>
            <wp:effectExtent l="0" t="0" r="0"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3360684" cy="2361293"/>
                    </a:xfrm>
                    <a:prstGeom prst="rect">
                      <a:avLst/>
                    </a:prstGeom>
                    <a:noFill/>
                  </pic:spPr>
                </pic:pic>
              </a:graphicData>
            </a:graphic>
          </wp:inline>
        </w:drawing>
      </w:r>
      <w:r>
        <w:rPr>
          <w:rFonts w:ascii="Times New Roman" w:hAnsi="Times New Roman" w:cs="Times New Roman"/>
          <w:b/>
        </w:rPr>
        <w:t xml:space="preserve">  </w:t>
      </w:r>
      <w:r>
        <w:rPr>
          <w:rFonts w:ascii="Times New Roman" w:hAnsi="Times New Roman" w:cs="Times New Roman"/>
          <w:b/>
        </w:rPr>
        <w:drawing>
          <wp:inline distT="0" distB="0" distL="0" distR="0">
            <wp:extent cx="3188970" cy="2302510"/>
            <wp:effectExtent l="0" t="0" r="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3249035" cy="2345803"/>
                    </a:xfrm>
                    <a:prstGeom prst="rect">
                      <a:avLst/>
                    </a:prstGeom>
                    <a:noFill/>
                  </pic:spPr>
                </pic:pic>
              </a:graphicData>
            </a:graphic>
          </wp:inline>
        </w:drawing>
      </w:r>
    </w:p>
    <w:p w14:paraId="4DDB41CB">
      <w:pPr>
        <w:spacing w:line="360" w:lineRule="auto"/>
        <w:jc w:val="both"/>
        <w:rPr>
          <w:rFonts w:ascii="Times New Roman" w:hAnsi="Times New Roman" w:cs="Times New Roman" w:eastAsiaTheme="majorEastAsia"/>
          <w:sz w:val="24"/>
          <w:szCs w:val="24"/>
        </w:rPr>
      </w:pPr>
      <w:r>
        <w:rPr>
          <w:rFonts w:ascii="Times New Roman" w:hAnsi="Times New Roman" w:cs="Times New Roman" w:eastAsiaTheme="majorEastAsia"/>
          <w:sz w:val="24"/>
          <w:szCs w:val="24"/>
        </w:rPr>
        <w:t>It is worth stating that, the First Quarter of 2026-recorded significant implementation of non-physical programmes across key sectors of the Birim North District Assembly. These interventions largely focused on improving institutional efficiency, enhancing public service delivery, strengthening community awareness, and promoting inclusive development. The successful implementation of these activities reflects the Assembly’s continued commitment to effective governance and sustainable district development.</w:t>
      </w:r>
    </w:p>
    <w:p w14:paraId="6F77F6AA">
      <w:pPr>
        <w:pStyle w:val="4"/>
        <w:spacing w:after="240"/>
        <w:rPr>
          <w:rFonts w:ascii="Times New Roman" w:hAnsi="Times New Roman" w:eastAsia="Calibri" w:cs="Times New Roman"/>
          <w:b/>
          <w:bCs/>
          <w:i/>
          <w:iCs/>
          <w:color w:val="auto"/>
        </w:rPr>
      </w:pPr>
      <w:bookmarkStart w:id="69" w:name="_Toc230260728"/>
      <w:r>
        <w:rPr>
          <w:rFonts w:ascii="Times New Roman" w:hAnsi="Times New Roman" w:eastAsia="Calibri" w:cs="Times New Roman"/>
          <w:b/>
          <w:bCs/>
          <w:i/>
          <w:iCs/>
          <w:color w:val="auto"/>
        </w:rPr>
        <w:t>2.1.2 Collaborations with NGOs, CBOs and Development Partners</w:t>
      </w:r>
      <w:bookmarkEnd w:id="69"/>
    </w:p>
    <w:p w14:paraId="7B84DF99">
      <w:pPr>
        <w:spacing w:line="36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During the First Quarter of 2026, the Birim North District Assembly strengthened collaboration with NGOs and development partners to address child protection and social welfare issues within the district. PDA Africa, in partnership with Yonkopa Cocoa, engaged the Department of Social Welfare and Community Development to conduct follow-up visits to cocoa farming communities to assess and address child labour cases among children assisting their parents during the cocoa season. The exercise involved direct engagement with affected farmers and children to identify challenges and possible interventions.</w:t>
      </w:r>
    </w:p>
    <w:p w14:paraId="4ADF0D7F">
      <w:pPr>
        <w:pStyle w:val="8"/>
        <w:keepNext/>
        <w:rPr>
          <w:color w:val="auto"/>
        </w:rPr>
      </w:pPr>
      <w:bookmarkStart w:id="70" w:name="_Toc229970892"/>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24</w:t>
      </w:r>
      <w:r>
        <w:rPr>
          <w:color w:val="auto"/>
        </w:rPr>
        <w:fldChar w:fldCharType="end"/>
      </w:r>
      <w:r>
        <w:rPr>
          <w:color w:val="auto"/>
        </w:rPr>
        <w:t>: FOLLOW-UP VISITS TO COCOA FARMING COMMUNITIES</w:t>
      </w:r>
      <w:bookmarkEnd w:id="70"/>
    </w:p>
    <w:p w14:paraId="6A158E9C">
      <w:pPr>
        <w:rPr>
          <w:rFonts w:ascii="Times New Roman" w:hAnsi="Times New Roman" w:eastAsia="Calibri" w:cs="Times New Roman"/>
          <w:bCs/>
          <w:iCs/>
          <w:sz w:val="24"/>
          <w:szCs w:val="24"/>
        </w:rPr>
      </w:pPr>
      <w:r>
        <w:rPr>
          <w:rFonts w:ascii="Times New Roman" w:hAnsi="Times New Roman" w:eastAsia="Calibri" w:cs="Times New Roman"/>
          <w:bCs/>
          <w:iCs/>
          <w:sz w:val="24"/>
          <w:szCs w:val="24"/>
        </w:rPr>
        <w:drawing>
          <wp:inline distT="0" distB="0" distL="0" distR="0">
            <wp:extent cx="3155950" cy="2277110"/>
            <wp:effectExtent l="0" t="0" r="6350" b="8890"/>
            <wp:docPr id="3604126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12662" name="Picture 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196419" cy="2306228"/>
                    </a:xfrm>
                    <a:prstGeom prst="rect">
                      <a:avLst/>
                    </a:prstGeom>
                    <a:noFill/>
                    <a:ln>
                      <a:noFill/>
                    </a:ln>
                  </pic:spPr>
                </pic:pic>
              </a:graphicData>
            </a:graphic>
          </wp:inline>
        </w:drawing>
      </w:r>
      <w:r>
        <w:rPr>
          <w:rFonts w:ascii="Times New Roman" w:hAnsi="Times New Roman" w:eastAsia="Calibri" w:cs="Times New Roman"/>
          <w:bCs/>
          <w:iCs/>
          <w:sz w:val="24"/>
          <w:szCs w:val="24"/>
        </w:rPr>
        <w:t xml:space="preserve">  </w:t>
      </w:r>
      <w:r>
        <w:rPr>
          <w:rFonts w:ascii="Times New Roman" w:hAnsi="Times New Roman" w:eastAsia="Calibri" w:cs="Times New Roman"/>
          <w:bCs/>
          <w:iCs/>
          <w:sz w:val="24"/>
          <w:szCs w:val="24"/>
        </w:rPr>
        <w:drawing>
          <wp:inline distT="0" distB="0" distL="0" distR="0">
            <wp:extent cx="3371215" cy="2277110"/>
            <wp:effectExtent l="0" t="0" r="635" b="8890"/>
            <wp:docPr id="12851807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80752"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3421793" cy="2311227"/>
                    </a:xfrm>
                    <a:prstGeom prst="rect">
                      <a:avLst/>
                    </a:prstGeom>
                    <a:noFill/>
                    <a:ln>
                      <a:noFill/>
                    </a:ln>
                  </pic:spPr>
                </pic:pic>
              </a:graphicData>
            </a:graphic>
          </wp:inline>
        </w:drawing>
      </w:r>
    </w:p>
    <w:p w14:paraId="580CEFD4">
      <w:pPr>
        <w:spacing w:line="36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Additionally, the International Cocoa Initiative (ICI) organized a stakeholder meeting in the district to officially introduce its operations and planned interventions aimed at promoting sustainable cocoa farming and eliminating child labour. The meeting brought together key stakeholders including the District Assembly, Education Directorate, Health Directorate, Labour Department, CHRAJ, NCCE, DOVVSU, NHIS, traditional authorities, and other institutions to discuss collaborative approaches toward child protection and community development.</w:t>
      </w:r>
    </w:p>
    <w:p w14:paraId="03598D35">
      <w:pPr>
        <w:spacing w:line="360" w:lineRule="auto"/>
        <w:jc w:val="both"/>
        <w:rPr>
          <w:rFonts w:ascii="Times New Roman" w:hAnsi="Times New Roman" w:eastAsia="Calibri" w:cs="Times New Roman"/>
          <w:iCs/>
          <w:sz w:val="24"/>
          <w:szCs w:val="24"/>
        </w:rPr>
      </w:pPr>
      <w:r>
        <w:rPr>
          <w:rFonts w:ascii="Times New Roman" w:hAnsi="Times New Roman" w:cs="Times New Roman"/>
        </w:rPr>
        <w:drawing>
          <wp:inline distT="0" distB="0" distL="0" distR="0">
            <wp:extent cx="3312160" cy="2751455"/>
            <wp:effectExtent l="0" t="0" r="2540" b="0"/>
            <wp:docPr id="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3332705" cy="2768895"/>
                    </a:xfrm>
                    <a:prstGeom prst="rect">
                      <a:avLst/>
                    </a:prstGeom>
                    <a:noFill/>
                    <a:ln>
                      <a:noFill/>
                    </a:ln>
                  </pic:spPr>
                </pic:pic>
              </a:graphicData>
            </a:graphic>
          </wp:inline>
        </w:drawing>
      </w:r>
      <w:r>
        <w:rPr>
          <w:rFonts w:ascii="Times New Roman" w:hAnsi="Times New Roman" w:eastAsia="Calibri" w:cs="Times New Roman"/>
          <w:iCs/>
          <w:sz w:val="24"/>
          <w:szCs w:val="24"/>
        </w:rPr>
        <w:t xml:space="preserve">  </w:t>
      </w:r>
      <w:r>
        <w:rPr>
          <w:rFonts w:ascii="Times New Roman" w:hAnsi="Times New Roman" w:cs="Times New Roman"/>
        </w:rPr>
        <w:drawing>
          <wp:inline distT="0" distB="0" distL="0" distR="0">
            <wp:extent cx="3225165" cy="2734310"/>
            <wp:effectExtent l="0" t="0" r="0" b="8890"/>
            <wp:docPr id="1474130951" name="Picture 1"/>
            <wp:cNvGraphicFramePr/>
            <a:graphic xmlns:a="http://schemas.openxmlformats.org/drawingml/2006/main">
              <a:graphicData uri="http://schemas.openxmlformats.org/drawingml/2006/picture">
                <pic:pic xmlns:pic="http://schemas.openxmlformats.org/drawingml/2006/picture">
                  <pic:nvPicPr>
                    <pic:cNvPr id="1474130951" name="Picture 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3262538" cy="2765804"/>
                    </a:xfrm>
                    <a:prstGeom prst="rect">
                      <a:avLst/>
                    </a:prstGeom>
                    <a:noFill/>
                    <a:ln>
                      <a:noFill/>
                    </a:ln>
                  </pic:spPr>
                </pic:pic>
              </a:graphicData>
            </a:graphic>
          </wp:inline>
        </w:drawing>
      </w:r>
    </w:p>
    <w:p w14:paraId="1D8AE107">
      <w:pPr>
        <w:spacing w:line="36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These collaborations contributed to strengthening stakeholder coordination, promoting child welfare, and supporting ongoing efforts to reduce child labour and improve social protection services within the district.</w:t>
      </w:r>
    </w:p>
    <w:p w14:paraId="73E79AEA">
      <w:pPr>
        <w:keepNext/>
        <w:keepLines/>
        <w:spacing w:before="40" w:after="0" w:line="240" w:lineRule="auto"/>
        <w:outlineLvl w:val="1"/>
        <w:rPr>
          <w:rFonts w:ascii="Times New Roman" w:hAnsi="Times New Roman" w:eastAsia="Times New Roman" w:cs="Times New Roman"/>
          <w:b/>
          <w:sz w:val="24"/>
          <w:szCs w:val="24"/>
        </w:rPr>
      </w:pPr>
      <w:bookmarkStart w:id="71" w:name="_Toc222333865"/>
      <w:bookmarkStart w:id="72" w:name="_Toc230260729"/>
      <w:r>
        <w:rPr>
          <w:rFonts w:ascii="Times New Roman" w:hAnsi="Times New Roman" w:eastAsia="Times New Roman" w:cs="Times New Roman"/>
          <w:b/>
          <w:sz w:val="24"/>
          <w:szCs w:val="24"/>
        </w:rPr>
        <w:t>2.2 Update on Project Register for First Quarter 202</w:t>
      </w:r>
      <w:bookmarkEnd w:id="71"/>
      <w:r>
        <w:rPr>
          <w:rFonts w:ascii="Times New Roman" w:hAnsi="Times New Roman" w:eastAsia="Times New Roman" w:cs="Times New Roman"/>
          <w:b/>
          <w:sz w:val="24"/>
          <w:szCs w:val="24"/>
        </w:rPr>
        <w:t>6</w:t>
      </w:r>
      <w:bookmarkEnd w:id="72"/>
    </w:p>
    <w:p w14:paraId="172EE6E4">
      <w:pPr>
        <w:spacing w:before="240" w:after="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Project Register continues to serve as a vital management tool for tracking all development initiatives being implemented within the District. It functions as a comprehensive database that captures detailed information on both ongoing and completed projects, offering clear insights into their status, scope, and level of progress. Through systematic documentation, the register enhances the effectiveness of monitoring and evaluation across all sectors of development.</w:t>
      </w:r>
    </w:p>
    <w:p w14:paraId="7D5C713F">
      <w:pPr>
        <w:spacing w:before="240" w:after="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projects included in the register span a broad spectrum of sectors including infrastructure, education, health, and local economic development thereby reinforcing transparency, accountability, and coordination in the implementation of the District’s Annual Action Plan (AAP). By recording project milestones, activities, and outcomes in a structured manner, the register enables the Assembly to make evidence-based decisions, prioritize resource allocation, and strengthen strategic planning processes.</w:t>
      </w:r>
    </w:p>
    <w:p w14:paraId="5E717579">
      <w:pPr>
        <w:spacing w:before="240" w:after="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the central reference point for development activities, the Project Register ensures that implementation remains aligned with the District’s long-term objectives of sustainable growth, improved service delivery, and equitable distribution of interventions.</w:t>
      </w:r>
    </w:p>
    <w:p w14:paraId="438EF682">
      <w:pPr>
        <w:spacing w:before="240" w:after="240" w:line="360" w:lineRule="auto"/>
        <w:jc w:val="both"/>
        <w:rPr>
          <w:rFonts w:ascii="Times New Roman" w:hAnsi="Times New Roman" w:eastAsia="Times New Roman" w:cs="Times New Roman"/>
          <w:sz w:val="24"/>
          <w:szCs w:val="24"/>
        </w:rPr>
        <w:sectPr>
          <w:pgSz w:w="11906" w:h="16838"/>
          <w:pgMar w:top="720" w:right="720" w:bottom="720" w:left="720" w:header="720" w:footer="562" w:gutter="0"/>
          <w:cols w:space="720" w:num="1"/>
          <w:docGrid w:linePitch="326" w:charSpace="0"/>
        </w:sectPr>
      </w:pPr>
      <w:r>
        <w:rPr>
          <w:rFonts w:ascii="Times New Roman" w:hAnsi="Times New Roman" w:eastAsia="Times New Roman" w:cs="Times New Roman"/>
          <w:sz w:val="24"/>
          <w:szCs w:val="24"/>
        </w:rPr>
        <w:t xml:space="preserve">Table 4 below provides an updated summary of all projects under implementation as at the end of the </w:t>
      </w:r>
      <w:r>
        <w:rPr>
          <w:rFonts w:ascii="Times New Roman" w:hAnsi="Times New Roman" w:eastAsia="Times New Roman" w:cs="Times New Roman"/>
          <w:bCs/>
          <w:sz w:val="24"/>
          <w:szCs w:val="24"/>
        </w:rPr>
        <w:t>First Quarter of 2026</w:t>
      </w:r>
      <w:r>
        <w:rPr>
          <w:rFonts w:ascii="Times New Roman" w:hAnsi="Times New Roman" w:eastAsia="Times New Roman" w:cs="Times New Roman"/>
          <w:sz w:val="24"/>
          <w:szCs w:val="24"/>
        </w:rPr>
        <w:t>. The table outlines key project details, including Project Description, Development Dimension, Location, Contractor, Contract Sum, Source of Funding, Date of Award, Start Date, Expected Completion Date, Expenditure to Date, Outstanding Balance, and Current Implementation Status.</w:t>
      </w:r>
    </w:p>
    <w:p w14:paraId="4564DEBE">
      <w:pPr>
        <w:pStyle w:val="8"/>
        <w:keepNext/>
        <w:spacing w:after="0"/>
        <w:rPr>
          <w:b/>
          <w:bCs/>
          <w:color w:val="auto"/>
          <w:sz w:val="20"/>
          <w:szCs w:val="20"/>
        </w:rPr>
      </w:pPr>
      <w:bookmarkStart w:id="73" w:name="_Toc229970430"/>
      <w:r>
        <w:rPr>
          <w:b/>
          <w:bCs/>
          <w:color w:val="auto"/>
          <w:sz w:val="20"/>
          <w:szCs w:val="20"/>
        </w:rPr>
        <w:t xml:space="preserve">Table </w:t>
      </w:r>
      <w:r>
        <w:rPr>
          <w:b/>
          <w:bCs/>
          <w:color w:val="auto"/>
          <w:sz w:val="20"/>
          <w:szCs w:val="20"/>
        </w:rPr>
        <w:fldChar w:fldCharType="begin"/>
      </w:r>
      <w:r>
        <w:rPr>
          <w:b/>
          <w:bCs/>
          <w:color w:val="auto"/>
          <w:sz w:val="20"/>
          <w:szCs w:val="20"/>
        </w:rPr>
        <w:instrText xml:space="preserve"> SEQ Table \* ARABIC </w:instrText>
      </w:r>
      <w:r>
        <w:rPr>
          <w:b/>
          <w:bCs/>
          <w:color w:val="auto"/>
          <w:sz w:val="20"/>
          <w:szCs w:val="20"/>
        </w:rPr>
        <w:fldChar w:fldCharType="separate"/>
      </w:r>
      <w:r>
        <w:rPr>
          <w:b/>
          <w:bCs/>
          <w:color w:val="auto"/>
          <w:sz w:val="20"/>
          <w:szCs w:val="20"/>
        </w:rPr>
        <w:t>4</w:t>
      </w:r>
      <w:r>
        <w:rPr>
          <w:b/>
          <w:bCs/>
          <w:color w:val="auto"/>
          <w:sz w:val="20"/>
          <w:szCs w:val="20"/>
        </w:rPr>
        <w:fldChar w:fldCharType="end"/>
      </w:r>
      <w:r>
        <w:rPr>
          <w:b/>
          <w:bCs/>
          <w:color w:val="auto"/>
          <w:sz w:val="20"/>
          <w:szCs w:val="20"/>
        </w:rPr>
        <w:t>: Projects Register for First Quarter 2026</w:t>
      </w:r>
      <w:bookmarkEnd w:id="73"/>
    </w:p>
    <w:tbl>
      <w:tblPr>
        <w:tblStyle w:val="6"/>
        <w:tblpPr w:leftFromText="180" w:rightFromText="180" w:bottomFromText="160" w:vertAnchor="text" w:horzAnchor="page" w:tblpXSpec="center" w:tblpY="263"/>
        <w:tblOverlap w:val="never"/>
        <w:tblW w:w="16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689"/>
        <w:gridCol w:w="968"/>
        <w:gridCol w:w="11"/>
        <w:gridCol w:w="1203"/>
        <w:gridCol w:w="1164"/>
        <w:gridCol w:w="1120"/>
        <w:gridCol w:w="980"/>
        <w:gridCol w:w="918"/>
        <w:gridCol w:w="980"/>
        <w:gridCol w:w="1043"/>
        <w:gridCol w:w="1217"/>
        <w:gridCol w:w="1120"/>
        <w:gridCol w:w="1001"/>
        <w:gridCol w:w="1134"/>
        <w:gridCol w:w="1117"/>
        <w:gridCol w:w="8"/>
      </w:tblGrid>
      <w:tr w14:paraId="2948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2" w:hRule="atLeast"/>
        </w:trPr>
        <w:tc>
          <w:tcPr>
            <w:tcW w:w="2223" w:type="dxa"/>
            <w:gridSpan w:val="2"/>
            <w:vMerge w:val="restart"/>
            <w:tcBorders>
              <w:top w:val="single" w:color="auto" w:sz="4" w:space="0"/>
              <w:left w:val="single" w:color="auto" w:sz="4" w:space="0"/>
              <w:bottom w:val="single" w:color="auto" w:sz="4" w:space="0"/>
              <w:right w:val="single" w:color="auto" w:sz="4" w:space="0"/>
            </w:tcBorders>
            <w:shd w:val="clear" w:color="auto" w:fill="D9D9D9"/>
            <w:noWrap/>
          </w:tcPr>
          <w:p w14:paraId="60D6C10A">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Project Description</w:t>
            </w:r>
          </w:p>
          <w:p w14:paraId="29B8860F">
            <w:pPr>
              <w:spacing w:after="0" w:line="276" w:lineRule="auto"/>
              <w:ind w:left="209" w:hanging="10"/>
              <w:jc w:val="both"/>
              <w:rPr>
                <w:rFonts w:ascii="Times New Roman" w:hAnsi="Times New Roman" w:eastAsia="Times New Roman" w:cs="Times New Roman"/>
                <w:b/>
                <w:sz w:val="16"/>
                <w:szCs w:val="16"/>
              </w:rPr>
            </w:pPr>
          </w:p>
        </w:tc>
        <w:tc>
          <w:tcPr>
            <w:tcW w:w="979" w:type="dxa"/>
            <w:gridSpan w:val="2"/>
            <w:vMerge w:val="restart"/>
            <w:tcBorders>
              <w:top w:val="single" w:color="auto" w:sz="4" w:space="0"/>
              <w:left w:val="single" w:color="auto" w:sz="4" w:space="0"/>
              <w:bottom w:val="single" w:color="auto" w:sz="4" w:space="0"/>
              <w:right w:val="single" w:color="auto" w:sz="4" w:space="0"/>
            </w:tcBorders>
            <w:shd w:val="clear" w:color="auto" w:fill="D9D9D9"/>
          </w:tcPr>
          <w:p w14:paraId="26FBB6BB">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Development Dimension</w:t>
            </w:r>
          </w:p>
        </w:tc>
        <w:tc>
          <w:tcPr>
            <w:tcW w:w="1203"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219DF023">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Location</w:t>
            </w:r>
          </w:p>
          <w:p w14:paraId="43123E24">
            <w:pPr>
              <w:spacing w:after="0" w:line="276" w:lineRule="auto"/>
              <w:ind w:left="209" w:hanging="10"/>
              <w:jc w:val="both"/>
              <w:rPr>
                <w:rFonts w:ascii="Times New Roman" w:hAnsi="Times New Roman" w:eastAsia="Times New Roman" w:cs="Times New Roman"/>
                <w:b/>
                <w:bCs/>
                <w:sz w:val="16"/>
                <w:szCs w:val="16"/>
              </w:rPr>
            </w:pPr>
          </w:p>
        </w:tc>
        <w:tc>
          <w:tcPr>
            <w:tcW w:w="1164" w:type="dxa"/>
            <w:vMerge w:val="restart"/>
            <w:tcBorders>
              <w:top w:val="single" w:color="auto" w:sz="4" w:space="0"/>
              <w:left w:val="single" w:color="auto" w:sz="4" w:space="0"/>
              <w:bottom w:val="single" w:color="auto" w:sz="4" w:space="0"/>
              <w:right w:val="single" w:color="auto" w:sz="4" w:space="0"/>
            </w:tcBorders>
            <w:shd w:val="clear" w:color="auto" w:fill="D9D9D9"/>
          </w:tcPr>
          <w:p w14:paraId="2DE6B33C">
            <w:pPr>
              <w:spacing w:after="0" w:line="276" w:lineRule="auto"/>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Contractor</w:t>
            </w:r>
          </w:p>
        </w:tc>
        <w:tc>
          <w:tcPr>
            <w:tcW w:w="1120"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0676DB91">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Contract Sum</w:t>
            </w:r>
          </w:p>
        </w:tc>
        <w:tc>
          <w:tcPr>
            <w:tcW w:w="980"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18D20A31">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Source Of Funding</w:t>
            </w:r>
          </w:p>
        </w:tc>
        <w:tc>
          <w:tcPr>
            <w:tcW w:w="918"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4CDDBC56">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Date of Award</w:t>
            </w:r>
          </w:p>
          <w:p w14:paraId="718F1478">
            <w:pPr>
              <w:spacing w:after="0" w:line="276" w:lineRule="auto"/>
              <w:ind w:left="209" w:hanging="10"/>
              <w:jc w:val="both"/>
              <w:rPr>
                <w:rFonts w:ascii="Times New Roman" w:hAnsi="Times New Roman" w:eastAsia="Times New Roman" w:cs="Times New Roman"/>
                <w:b/>
                <w:bCs/>
                <w:sz w:val="16"/>
                <w:szCs w:val="16"/>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191128A5">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sz w:val="16"/>
                <w:szCs w:val="16"/>
              </w:rPr>
              <w:t>Date Started</w:t>
            </w:r>
          </w:p>
        </w:tc>
        <w:tc>
          <w:tcPr>
            <w:tcW w:w="1043"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42510EE5">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Expected Date of  Completion</w:t>
            </w:r>
          </w:p>
        </w:tc>
        <w:tc>
          <w:tcPr>
            <w:tcW w:w="1217"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3AB52F93">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Expenditure to Date</w:t>
            </w:r>
          </w:p>
        </w:tc>
        <w:tc>
          <w:tcPr>
            <w:tcW w:w="1120" w:type="dxa"/>
            <w:vMerge w:val="restart"/>
            <w:tcBorders>
              <w:top w:val="single" w:color="auto" w:sz="4" w:space="0"/>
              <w:left w:val="single" w:color="auto" w:sz="4" w:space="0"/>
              <w:bottom w:val="single" w:color="auto" w:sz="4" w:space="0"/>
              <w:right w:val="single" w:color="auto" w:sz="4" w:space="0"/>
            </w:tcBorders>
            <w:shd w:val="clear" w:color="auto" w:fill="D9D9D9"/>
            <w:noWrap/>
          </w:tcPr>
          <w:p w14:paraId="53EEDFB6">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OutStanding</w:t>
            </w:r>
          </w:p>
          <w:p w14:paraId="0E0923A2">
            <w:pPr>
              <w:spacing w:after="0" w:line="276" w:lineRule="auto"/>
              <w:ind w:left="199"/>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Balance</w:t>
            </w:r>
          </w:p>
        </w:tc>
        <w:tc>
          <w:tcPr>
            <w:tcW w:w="2135" w:type="dxa"/>
            <w:gridSpan w:val="2"/>
            <w:tcBorders>
              <w:top w:val="single" w:color="auto" w:sz="4" w:space="0"/>
              <w:left w:val="single" w:color="auto" w:sz="4" w:space="0"/>
              <w:bottom w:val="single" w:color="auto" w:sz="4" w:space="0"/>
              <w:right w:val="single" w:color="auto" w:sz="4" w:space="0"/>
            </w:tcBorders>
            <w:shd w:val="clear" w:color="auto" w:fill="D9D9D9"/>
            <w:noWrap/>
          </w:tcPr>
          <w:p w14:paraId="0FA8C184">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Implementation Status</w:t>
            </w:r>
          </w:p>
        </w:tc>
        <w:tc>
          <w:tcPr>
            <w:tcW w:w="1117" w:type="dxa"/>
            <w:vMerge w:val="restart"/>
            <w:tcBorders>
              <w:top w:val="single" w:color="auto" w:sz="4" w:space="0"/>
              <w:left w:val="single" w:color="auto" w:sz="4" w:space="0"/>
              <w:bottom w:val="single" w:color="auto" w:sz="4" w:space="0"/>
              <w:right w:val="single" w:color="auto" w:sz="4" w:space="0"/>
            </w:tcBorders>
            <w:shd w:val="clear" w:color="auto" w:fill="D9D9D9"/>
          </w:tcPr>
          <w:p w14:paraId="58149940">
            <w:pPr>
              <w:spacing w:after="0" w:line="276"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 xml:space="preserve">Remarks </w:t>
            </w:r>
          </w:p>
        </w:tc>
      </w:tr>
      <w:tr w14:paraId="7834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79" w:hRule="atLeast"/>
        </w:trPr>
        <w:tc>
          <w:tcPr>
            <w:tcW w:w="2223" w:type="dxa"/>
            <w:gridSpan w:val="2"/>
            <w:vMerge w:val="continue"/>
            <w:tcBorders>
              <w:top w:val="single" w:color="auto" w:sz="4" w:space="0"/>
              <w:left w:val="single" w:color="auto" w:sz="4" w:space="0"/>
              <w:bottom w:val="single" w:color="auto" w:sz="4" w:space="0"/>
              <w:right w:val="single" w:color="auto" w:sz="4" w:space="0"/>
            </w:tcBorders>
            <w:vAlign w:val="center"/>
          </w:tcPr>
          <w:p w14:paraId="4FA1FE0A">
            <w:pPr>
              <w:spacing w:after="0" w:line="276" w:lineRule="auto"/>
              <w:ind w:left="209" w:hanging="10"/>
              <w:jc w:val="both"/>
              <w:rPr>
                <w:rFonts w:ascii="Times New Roman" w:hAnsi="Times New Roman" w:eastAsia="Times New Roman" w:cs="Times New Roman"/>
                <w:b/>
                <w:sz w:val="16"/>
                <w:szCs w:val="16"/>
              </w:rPr>
            </w:pPr>
          </w:p>
        </w:tc>
        <w:tc>
          <w:tcPr>
            <w:tcW w:w="979" w:type="dxa"/>
            <w:gridSpan w:val="2"/>
            <w:vMerge w:val="continue"/>
            <w:tcBorders>
              <w:top w:val="single" w:color="auto" w:sz="4" w:space="0"/>
              <w:left w:val="single" w:color="auto" w:sz="4" w:space="0"/>
              <w:bottom w:val="single" w:color="auto" w:sz="4" w:space="0"/>
              <w:right w:val="single" w:color="auto" w:sz="4" w:space="0"/>
            </w:tcBorders>
            <w:vAlign w:val="center"/>
          </w:tcPr>
          <w:p w14:paraId="149B97FB">
            <w:pPr>
              <w:spacing w:after="0" w:line="276" w:lineRule="auto"/>
              <w:ind w:left="209" w:hanging="10"/>
              <w:jc w:val="both"/>
              <w:rPr>
                <w:rFonts w:ascii="Times New Roman" w:hAnsi="Times New Roman" w:eastAsia="Times New Roman" w:cs="Times New Roman"/>
                <w:b/>
                <w:bCs/>
                <w:sz w:val="16"/>
                <w:szCs w:val="16"/>
              </w:rPr>
            </w:pPr>
          </w:p>
        </w:tc>
        <w:tc>
          <w:tcPr>
            <w:tcW w:w="1203" w:type="dxa"/>
            <w:vMerge w:val="continue"/>
            <w:tcBorders>
              <w:top w:val="single" w:color="auto" w:sz="4" w:space="0"/>
              <w:left w:val="single" w:color="auto" w:sz="4" w:space="0"/>
              <w:bottom w:val="single" w:color="auto" w:sz="4" w:space="0"/>
              <w:right w:val="single" w:color="auto" w:sz="4" w:space="0"/>
            </w:tcBorders>
            <w:vAlign w:val="center"/>
          </w:tcPr>
          <w:p w14:paraId="30224390">
            <w:pPr>
              <w:spacing w:after="0" w:line="276" w:lineRule="auto"/>
              <w:ind w:left="209" w:hanging="10"/>
              <w:jc w:val="both"/>
              <w:rPr>
                <w:rFonts w:ascii="Times New Roman" w:hAnsi="Times New Roman" w:eastAsia="Times New Roman" w:cs="Times New Roman"/>
                <w:b/>
                <w:bCs/>
                <w:sz w:val="16"/>
                <w:szCs w:val="16"/>
              </w:rPr>
            </w:pPr>
          </w:p>
        </w:tc>
        <w:tc>
          <w:tcPr>
            <w:tcW w:w="1164" w:type="dxa"/>
            <w:vMerge w:val="continue"/>
            <w:tcBorders>
              <w:top w:val="single" w:color="auto" w:sz="4" w:space="0"/>
              <w:left w:val="single" w:color="auto" w:sz="4" w:space="0"/>
              <w:bottom w:val="single" w:color="auto" w:sz="4" w:space="0"/>
              <w:right w:val="single" w:color="auto" w:sz="4" w:space="0"/>
            </w:tcBorders>
            <w:vAlign w:val="center"/>
          </w:tcPr>
          <w:p w14:paraId="2D86BAD0">
            <w:pPr>
              <w:spacing w:after="0" w:line="276" w:lineRule="auto"/>
              <w:ind w:left="209" w:hanging="10"/>
              <w:rPr>
                <w:rFonts w:ascii="Times New Roman" w:hAnsi="Times New Roman" w:eastAsia="Times New Roman" w:cs="Times New Roman"/>
                <w:b/>
                <w:bCs/>
                <w:sz w:val="16"/>
                <w:szCs w:val="16"/>
              </w:rPr>
            </w:pPr>
          </w:p>
        </w:tc>
        <w:tc>
          <w:tcPr>
            <w:tcW w:w="1120" w:type="dxa"/>
            <w:vMerge w:val="continue"/>
            <w:tcBorders>
              <w:top w:val="single" w:color="auto" w:sz="4" w:space="0"/>
              <w:left w:val="single" w:color="auto" w:sz="4" w:space="0"/>
              <w:bottom w:val="single" w:color="auto" w:sz="4" w:space="0"/>
              <w:right w:val="single" w:color="auto" w:sz="4" w:space="0"/>
            </w:tcBorders>
            <w:vAlign w:val="center"/>
          </w:tcPr>
          <w:p w14:paraId="24B98CB0">
            <w:pPr>
              <w:spacing w:after="0" w:line="276" w:lineRule="auto"/>
              <w:ind w:left="209" w:hanging="10"/>
              <w:jc w:val="both"/>
              <w:rPr>
                <w:rFonts w:ascii="Times New Roman" w:hAnsi="Times New Roman" w:eastAsia="Times New Roman" w:cs="Times New Roman"/>
                <w:b/>
                <w:bCs/>
                <w:sz w:val="16"/>
                <w:szCs w:val="16"/>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14:paraId="7D570E94">
            <w:pPr>
              <w:spacing w:after="0" w:line="276" w:lineRule="auto"/>
              <w:ind w:left="209" w:hanging="10"/>
              <w:jc w:val="both"/>
              <w:rPr>
                <w:rFonts w:ascii="Times New Roman" w:hAnsi="Times New Roman" w:eastAsia="Times New Roman" w:cs="Times New Roman"/>
                <w:b/>
                <w:bCs/>
                <w:sz w:val="16"/>
                <w:szCs w:val="16"/>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0FD75162">
            <w:pPr>
              <w:spacing w:after="0" w:line="276" w:lineRule="auto"/>
              <w:ind w:left="209" w:hanging="10"/>
              <w:jc w:val="both"/>
              <w:rPr>
                <w:rFonts w:ascii="Times New Roman" w:hAnsi="Times New Roman" w:eastAsia="Times New Roman" w:cs="Times New Roman"/>
                <w:b/>
                <w:bCs/>
                <w:sz w:val="16"/>
                <w:szCs w:val="16"/>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14:paraId="5259DBC4">
            <w:pPr>
              <w:spacing w:after="0" w:line="276" w:lineRule="auto"/>
              <w:ind w:left="209" w:hanging="10"/>
              <w:jc w:val="both"/>
              <w:rPr>
                <w:rFonts w:ascii="Times New Roman" w:hAnsi="Times New Roman" w:eastAsia="Times New Roman" w:cs="Times New Roman"/>
                <w:b/>
                <w:bCs/>
                <w:sz w:val="16"/>
                <w:szCs w:val="16"/>
              </w:rPr>
            </w:pPr>
          </w:p>
        </w:tc>
        <w:tc>
          <w:tcPr>
            <w:tcW w:w="1043" w:type="dxa"/>
            <w:vMerge w:val="continue"/>
            <w:tcBorders>
              <w:top w:val="single" w:color="auto" w:sz="4" w:space="0"/>
              <w:left w:val="single" w:color="auto" w:sz="4" w:space="0"/>
              <w:bottom w:val="single" w:color="auto" w:sz="4" w:space="0"/>
              <w:right w:val="single" w:color="auto" w:sz="4" w:space="0"/>
            </w:tcBorders>
            <w:vAlign w:val="center"/>
          </w:tcPr>
          <w:p w14:paraId="5C50CCC3">
            <w:pPr>
              <w:spacing w:after="0" w:line="276" w:lineRule="auto"/>
              <w:ind w:left="209" w:hanging="10"/>
              <w:jc w:val="both"/>
              <w:rPr>
                <w:rFonts w:ascii="Times New Roman" w:hAnsi="Times New Roman" w:eastAsia="Times New Roman" w:cs="Times New Roman"/>
                <w:b/>
                <w:bCs/>
                <w:sz w:val="16"/>
                <w:szCs w:val="16"/>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14:paraId="22CC3786">
            <w:pPr>
              <w:spacing w:after="0" w:line="276" w:lineRule="auto"/>
              <w:ind w:left="209" w:hanging="10"/>
              <w:jc w:val="both"/>
              <w:rPr>
                <w:rFonts w:ascii="Times New Roman" w:hAnsi="Times New Roman" w:eastAsia="Times New Roman" w:cs="Times New Roman"/>
                <w:b/>
                <w:bCs/>
                <w:sz w:val="16"/>
                <w:szCs w:val="16"/>
              </w:rPr>
            </w:pPr>
          </w:p>
        </w:tc>
        <w:tc>
          <w:tcPr>
            <w:tcW w:w="1120" w:type="dxa"/>
            <w:vMerge w:val="continue"/>
            <w:tcBorders>
              <w:top w:val="single" w:color="auto" w:sz="4" w:space="0"/>
              <w:left w:val="single" w:color="auto" w:sz="4" w:space="0"/>
              <w:bottom w:val="single" w:color="auto" w:sz="4" w:space="0"/>
              <w:right w:val="single" w:color="auto" w:sz="4" w:space="0"/>
            </w:tcBorders>
            <w:vAlign w:val="center"/>
          </w:tcPr>
          <w:p w14:paraId="0F7ACBA0">
            <w:pPr>
              <w:spacing w:after="0" w:line="276" w:lineRule="auto"/>
              <w:ind w:left="209" w:hanging="10"/>
              <w:jc w:val="both"/>
              <w:rPr>
                <w:rFonts w:ascii="Times New Roman" w:hAnsi="Times New Roman" w:eastAsia="Times New Roman" w:cs="Times New Roman"/>
                <w:b/>
                <w:bCs/>
                <w:sz w:val="16"/>
                <w:szCs w:val="16"/>
              </w:rPr>
            </w:pPr>
          </w:p>
        </w:tc>
        <w:tc>
          <w:tcPr>
            <w:tcW w:w="1001" w:type="dxa"/>
            <w:tcBorders>
              <w:top w:val="single" w:color="auto" w:sz="4" w:space="0"/>
              <w:left w:val="single" w:color="auto" w:sz="4" w:space="0"/>
              <w:bottom w:val="single" w:color="auto" w:sz="4" w:space="0"/>
              <w:right w:val="single" w:color="auto" w:sz="4" w:space="0"/>
            </w:tcBorders>
            <w:shd w:val="clear" w:color="auto" w:fill="D9D9D9"/>
            <w:vAlign w:val="center"/>
          </w:tcPr>
          <w:p w14:paraId="74E27896">
            <w:pPr>
              <w:spacing w:after="0" w:line="276" w:lineRule="auto"/>
              <w:ind w:left="209" w:hanging="10"/>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tcPr>
          <w:p w14:paraId="2F390CED">
            <w:pPr>
              <w:spacing w:after="0" w:line="276" w:lineRule="auto"/>
              <w:ind w:left="209" w:hanging="10"/>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Pictures</w:t>
            </w:r>
          </w:p>
          <w:p w14:paraId="3AB1B272">
            <w:pPr>
              <w:spacing w:after="0" w:line="276" w:lineRule="auto"/>
              <w:ind w:left="209" w:hanging="10"/>
              <w:jc w:val="both"/>
              <w:rPr>
                <w:rFonts w:ascii="Times New Roman" w:hAnsi="Times New Roman" w:eastAsia="Times New Roman" w:cs="Times New Roman"/>
                <w:b/>
                <w:bCs/>
                <w:sz w:val="16"/>
                <w:szCs w:val="16"/>
              </w:rPr>
            </w:pPr>
          </w:p>
        </w:tc>
        <w:tc>
          <w:tcPr>
            <w:tcW w:w="1117" w:type="dxa"/>
            <w:vMerge w:val="continue"/>
            <w:tcBorders>
              <w:top w:val="single" w:color="auto" w:sz="4" w:space="0"/>
              <w:left w:val="single" w:color="auto" w:sz="4" w:space="0"/>
              <w:bottom w:val="single" w:color="auto" w:sz="4" w:space="0"/>
              <w:right w:val="single" w:color="auto" w:sz="4" w:space="0"/>
            </w:tcBorders>
            <w:vAlign w:val="center"/>
          </w:tcPr>
          <w:p w14:paraId="4E178ACB">
            <w:pPr>
              <w:spacing w:after="0" w:line="276" w:lineRule="auto"/>
              <w:ind w:left="209" w:hanging="10"/>
              <w:jc w:val="both"/>
              <w:rPr>
                <w:rFonts w:ascii="Times New Roman" w:hAnsi="Times New Roman" w:eastAsia="Times New Roman" w:cs="Times New Roman"/>
                <w:b/>
                <w:bCs/>
                <w:sz w:val="16"/>
                <w:szCs w:val="16"/>
              </w:rPr>
            </w:pPr>
          </w:p>
        </w:tc>
      </w:tr>
      <w:tr w14:paraId="1AF7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8" w:hRule="atLeast"/>
        </w:trPr>
        <w:tc>
          <w:tcPr>
            <w:tcW w:w="534" w:type="dxa"/>
            <w:tcBorders>
              <w:top w:val="single" w:color="auto" w:sz="4" w:space="0"/>
              <w:left w:val="single" w:color="auto" w:sz="4" w:space="0"/>
              <w:bottom w:val="single" w:color="auto" w:sz="4" w:space="0"/>
              <w:right w:val="single" w:color="auto" w:sz="4" w:space="0"/>
            </w:tcBorders>
            <w:shd w:val="clear" w:color="auto" w:fill="F2F2F2"/>
            <w:noWrap/>
            <w:vAlign w:val="bottom"/>
          </w:tcPr>
          <w:p w14:paraId="0BEA0904">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CO</w:t>
            </w:r>
          </w:p>
          <w:p w14:paraId="2C688ABD">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DE</w:t>
            </w:r>
          </w:p>
        </w:tc>
        <w:tc>
          <w:tcPr>
            <w:tcW w:w="1689" w:type="dxa"/>
            <w:tcBorders>
              <w:top w:val="single" w:color="auto" w:sz="4" w:space="0"/>
              <w:left w:val="single" w:color="auto" w:sz="4" w:space="0"/>
              <w:bottom w:val="single" w:color="auto" w:sz="4" w:space="0"/>
              <w:right w:val="single" w:color="auto" w:sz="4" w:space="0"/>
            </w:tcBorders>
            <w:shd w:val="clear" w:color="auto" w:fill="F2F2F2"/>
            <w:vAlign w:val="bottom"/>
          </w:tcPr>
          <w:p w14:paraId="419F358C">
            <w:pPr>
              <w:spacing w:after="0" w:line="276"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Name</w:t>
            </w:r>
          </w:p>
        </w:tc>
        <w:tc>
          <w:tcPr>
            <w:tcW w:w="96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3D6213E">
            <w:pPr>
              <w:spacing w:after="0" w:line="276" w:lineRule="auto"/>
              <w:ind w:left="209" w:hanging="10"/>
              <w:jc w:val="both"/>
              <w:rPr>
                <w:rFonts w:ascii="Times New Roman" w:hAnsi="Times New Roman" w:eastAsia="Times New Roman" w:cs="Times New Roman"/>
                <w:b/>
                <w:bCs/>
                <w:sz w:val="16"/>
                <w:szCs w:val="16"/>
              </w:rPr>
            </w:pPr>
          </w:p>
        </w:tc>
        <w:tc>
          <w:tcPr>
            <w:tcW w:w="1214" w:type="dxa"/>
            <w:gridSpan w:val="2"/>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8C5F1C9">
            <w:pPr>
              <w:spacing w:after="0" w:line="276" w:lineRule="auto"/>
              <w:ind w:left="209" w:hanging="10"/>
              <w:jc w:val="both"/>
              <w:rPr>
                <w:rFonts w:ascii="Times New Roman" w:hAnsi="Times New Roman" w:eastAsia="Times New Roman" w:cs="Times New Roman"/>
                <w:b/>
                <w:bCs/>
                <w:sz w:val="16"/>
                <w:szCs w:val="16"/>
              </w:rPr>
            </w:pPr>
          </w:p>
        </w:tc>
        <w:tc>
          <w:tcPr>
            <w:tcW w:w="1164"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CD97093">
            <w:pPr>
              <w:spacing w:after="0" w:line="276" w:lineRule="auto"/>
              <w:ind w:left="209" w:hanging="10"/>
              <w:rPr>
                <w:rFonts w:ascii="Times New Roman" w:hAnsi="Times New Roman" w:eastAsia="Times New Roman" w:cs="Times New Roman"/>
                <w:b/>
                <w:bCs/>
                <w:sz w:val="16"/>
                <w:szCs w:val="16"/>
              </w:rPr>
            </w:pPr>
          </w:p>
        </w:tc>
        <w:tc>
          <w:tcPr>
            <w:tcW w:w="112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CC0BF53">
            <w:pPr>
              <w:spacing w:after="0" w:line="276" w:lineRule="auto"/>
              <w:ind w:left="209" w:hanging="10"/>
              <w:jc w:val="both"/>
              <w:rPr>
                <w:rFonts w:ascii="Times New Roman" w:hAnsi="Times New Roman" w:eastAsia="Times New Roman" w:cs="Times New Roman"/>
                <w:b/>
                <w:bCs/>
                <w:sz w:val="16"/>
                <w:szCs w:val="16"/>
              </w:rPr>
            </w:pPr>
          </w:p>
        </w:tc>
        <w:tc>
          <w:tcPr>
            <w:tcW w:w="98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97899CF">
            <w:pPr>
              <w:spacing w:after="0" w:line="276" w:lineRule="auto"/>
              <w:ind w:left="209" w:hanging="10"/>
              <w:jc w:val="both"/>
              <w:rPr>
                <w:rFonts w:ascii="Times New Roman" w:hAnsi="Times New Roman" w:eastAsia="Times New Roman" w:cs="Times New Roman"/>
                <w:b/>
                <w:bCs/>
                <w:sz w:val="16"/>
                <w:szCs w:val="16"/>
              </w:rPr>
            </w:pPr>
          </w:p>
        </w:tc>
        <w:tc>
          <w:tcPr>
            <w:tcW w:w="91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2B17F0E">
            <w:pPr>
              <w:spacing w:after="0" w:line="276" w:lineRule="auto"/>
              <w:ind w:left="209" w:hanging="10"/>
              <w:jc w:val="both"/>
              <w:rPr>
                <w:rFonts w:ascii="Times New Roman" w:hAnsi="Times New Roman" w:eastAsia="Times New Roman" w:cs="Times New Roman"/>
                <w:b/>
                <w:bCs/>
                <w:sz w:val="16"/>
                <w:szCs w:val="16"/>
              </w:rPr>
            </w:pPr>
          </w:p>
        </w:tc>
        <w:tc>
          <w:tcPr>
            <w:tcW w:w="98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E64024B">
            <w:pPr>
              <w:spacing w:after="0" w:line="276" w:lineRule="auto"/>
              <w:ind w:left="209" w:hanging="10"/>
              <w:jc w:val="both"/>
              <w:rPr>
                <w:rFonts w:ascii="Times New Roman" w:hAnsi="Times New Roman" w:eastAsia="Times New Roman" w:cs="Times New Roman"/>
                <w:b/>
                <w:bCs/>
                <w:sz w:val="16"/>
                <w:szCs w:val="16"/>
              </w:rPr>
            </w:pPr>
          </w:p>
        </w:tc>
        <w:tc>
          <w:tcPr>
            <w:tcW w:w="1043"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DB8D8A7">
            <w:pPr>
              <w:spacing w:after="0" w:line="276" w:lineRule="auto"/>
              <w:ind w:left="209" w:hanging="10"/>
              <w:jc w:val="both"/>
              <w:rPr>
                <w:rFonts w:ascii="Times New Roman" w:hAnsi="Times New Roman" w:eastAsia="Times New Roman" w:cs="Times New Roman"/>
                <w:b/>
                <w:bCs/>
                <w:sz w:val="16"/>
                <w:szCs w:val="16"/>
              </w:rPr>
            </w:pPr>
          </w:p>
        </w:tc>
        <w:tc>
          <w:tcPr>
            <w:tcW w:w="1217"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75C5D99">
            <w:pPr>
              <w:spacing w:after="0" w:line="276" w:lineRule="auto"/>
              <w:ind w:left="209" w:hanging="10"/>
              <w:jc w:val="both"/>
              <w:rPr>
                <w:rFonts w:ascii="Times New Roman" w:hAnsi="Times New Roman" w:eastAsia="Times New Roman" w:cs="Times New Roman"/>
                <w:b/>
                <w:bCs/>
                <w:sz w:val="16"/>
                <w:szCs w:val="16"/>
              </w:rPr>
            </w:pPr>
          </w:p>
        </w:tc>
        <w:tc>
          <w:tcPr>
            <w:tcW w:w="112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D7FBC1B">
            <w:pPr>
              <w:spacing w:after="0" w:line="276" w:lineRule="auto"/>
              <w:ind w:left="209" w:hanging="10"/>
              <w:jc w:val="both"/>
              <w:rPr>
                <w:rFonts w:ascii="Times New Roman" w:hAnsi="Times New Roman" w:eastAsia="Times New Roman" w:cs="Times New Roman"/>
                <w:b/>
                <w:bCs/>
                <w:sz w:val="16"/>
                <w:szCs w:val="16"/>
              </w:rPr>
            </w:pPr>
          </w:p>
        </w:tc>
        <w:tc>
          <w:tcPr>
            <w:tcW w:w="1001"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86025A9">
            <w:pPr>
              <w:spacing w:after="0" w:line="276" w:lineRule="auto"/>
              <w:ind w:left="209" w:hanging="10"/>
              <w:jc w:val="both"/>
              <w:rPr>
                <w:rFonts w:ascii="Times New Roman" w:hAnsi="Times New Roman" w:eastAsia="Times New Roman" w:cs="Times New Roman"/>
                <w:b/>
                <w:bCs/>
                <w:sz w:val="16"/>
                <w:szCs w:val="16"/>
              </w:rPr>
            </w:pPr>
          </w:p>
        </w:tc>
        <w:tc>
          <w:tcPr>
            <w:tcW w:w="1134"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B9193AB">
            <w:pPr>
              <w:spacing w:after="0" w:line="276" w:lineRule="auto"/>
              <w:ind w:left="209" w:hanging="10"/>
              <w:jc w:val="both"/>
              <w:rPr>
                <w:rFonts w:ascii="Times New Roman" w:hAnsi="Times New Roman" w:eastAsia="Times New Roman" w:cs="Times New Roman"/>
                <w:b/>
                <w:bCs/>
                <w:sz w:val="16"/>
                <w:szCs w:val="16"/>
              </w:rPr>
            </w:pPr>
          </w:p>
        </w:tc>
        <w:tc>
          <w:tcPr>
            <w:tcW w:w="1117"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ADAE7B4">
            <w:pPr>
              <w:spacing w:after="0" w:line="276" w:lineRule="auto"/>
              <w:ind w:left="209" w:hanging="10"/>
              <w:jc w:val="both"/>
              <w:rPr>
                <w:rFonts w:ascii="Times New Roman" w:hAnsi="Times New Roman" w:eastAsia="Times New Roman" w:cs="Times New Roman"/>
                <w:b/>
                <w:bCs/>
                <w:sz w:val="16"/>
                <w:szCs w:val="16"/>
              </w:rPr>
            </w:pPr>
          </w:p>
        </w:tc>
      </w:tr>
      <w:tr w14:paraId="2D3F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2E10062F">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37CA02A8">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Completion of 1No. Health Centre </w:t>
            </w:r>
          </w:p>
        </w:tc>
        <w:tc>
          <w:tcPr>
            <w:tcW w:w="968" w:type="dxa"/>
            <w:tcBorders>
              <w:top w:val="single" w:color="auto" w:sz="4" w:space="0"/>
              <w:left w:val="single" w:color="auto" w:sz="4" w:space="0"/>
              <w:bottom w:val="single" w:color="auto" w:sz="4" w:space="0"/>
              <w:right w:val="single" w:color="auto" w:sz="4" w:space="0"/>
            </w:tcBorders>
            <w:shd w:val="clear" w:color="auto" w:fill="F2F2F2"/>
            <w:vAlign w:val="center"/>
          </w:tcPr>
          <w:p w14:paraId="5BD4A8BE">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shd w:val="clear" w:color="auto" w:fill="F2F2F2"/>
            <w:noWrap/>
            <w:vAlign w:val="center"/>
          </w:tcPr>
          <w:p w14:paraId="085A6655">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Akoase </w:t>
            </w:r>
          </w:p>
        </w:tc>
        <w:tc>
          <w:tcPr>
            <w:tcW w:w="1164" w:type="dxa"/>
            <w:tcBorders>
              <w:top w:val="single" w:color="auto" w:sz="4" w:space="0"/>
              <w:left w:val="single" w:color="auto" w:sz="4" w:space="0"/>
              <w:bottom w:val="single" w:color="auto" w:sz="4" w:space="0"/>
              <w:right w:val="single" w:color="auto" w:sz="4" w:space="0"/>
            </w:tcBorders>
            <w:shd w:val="clear" w:color="auto" w:fill="F2F2F2"/>
            <w:vAlign w:val="center"/>
          </w:tcPr>
          <w:p w14:paraId="0F146E2C">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Gu-manuel Co. Limited </w:t>
            </w:r>
          </w:p>
        </w:tc>
        <w:tc>
          <w:tcPr>
            <w:tcW w:w="1120"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1DD356AB">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375,311.97</w:t>
            </w:r>
          </w:p>
        </w:tc>
        <w:tc>
          <w:tcPr>
            <w:tcW w:w="980"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4FB098F0">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44E81F94">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28/06/22</w:t>
            </w:r>
          </w:p>
        </w:tc>
        <w:tc>
          <w:tcPr>
            <w:tcW w:w="980"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18105C4A">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05/07/22</w:t>
            </w:r>
          </w:p>
        </w:tc>
        <w:tc>
          <w:tcPr>
            <w:tcW w:w="1043"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46B14F76">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22/09/22</w:t>
            </w:r>
          </w:p>
        </w:tc>
        <w:tc>
          <w:tcPr>
            <w:tcW w:w="1217"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1B422DC6">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356,546.37</w:t>
            </w:r>
          </w:p>
        </w:tc>
        <w:tc>
          <w:tcPr>
            <w:tcW w:w="1120"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54E2B87B">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18,765.60</w:t>
            </w:r>
          </w:p>
        </w:tc>
        <w:tc>
          <w:tcPr>
            <w:tcW w:w="1001"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18CC1F54">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shd w:val="clear" w:color="auto" w:fill="F2F2F2"/>
            <w:noWrap/>
            <w:vAlign w:val="center"/>
          </w:tcPr>
          <w:p w14:paraId="69DA886B">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59264" behindDoc="1" locked="0" layoutInCell="1" allowOverlap="1">
                  <wp:simplePos x="0" y="0"/>
                  <wp:positionH relativeFrom="column">
                    <wp:posOffset>635</wp:posOffset>
                  </wp:positionH>
                  <wp:positionV relativeFrom="paragraph">
                    <wp:posOffset>-602615</wp:posOffset>
                  </wp:positionV>
                  <wp:extent cx="696595" cy="692150"/>
                  <wp:effectExtent l="0" t="0" r="8255" b="0"/>
                  <wp:wrapTight wrapText="bothSides">
                    <wp:wrapPolygon>
                      <wp:start x="0" y="0"/>
                      <wp:lineTo x="0" y="20807"/>
                      <wp:lineTo x="21265" y="20807"/>
                      <wp:lineTo x="21265" y="0"/>
                      <wp:lineTo x="0" y="0"/>
                    </wp:wrapPolygon>
                  </wp:wrapTight>
                  <wp:docPr id="1184542636" name="Picture 1184542636" descr="1NO. HEALTH CENTRE AT PANKESE-B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42636" name="Picture 1184542636" descr="1NO. HEALTH CENTRE AT PANKESE-BNDA"/>
                          <pic:cNvPicPr>
                            <a:picLocks noChangeAspect="1"/>
                          </pic:cNvPicPr>
                        </pic:nvPicPr>
                        <pic:blipFill>
                          <a:blip r:embed="rId108" cstate="print">
                            <a:extLst>
                              <a:ext uri="{28A0092B-C50C-407E-A947-70E740481C1C}">
                                <a14:useLocalDpi xmlns:a14="http://schemas.microsoft.com/office/drawing/2010/main" val="0"/>
                              </a:ext>
                            </a:extLst>
                          </a:blip>
                          <a:srcRect l="11912" t="19295" b="38391"/>
                          <a:stretch>
                            <a:fillRect/>
                          </a:stretch>
                        </pic:blipFill>
                        <pic:spPr>
                          <a:xfrm>
                            <a:off x="0" y="0"/>
                            <a:ext cx="696595" cy="692150"/>
                          </a:xfrm>
                          <a:prstGeom prst="rect">
                            <a:avLst/>
                          </a:prstGeom>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shd w:val="clear" w:color="auto" w:fill="F2F2F2"/>
            <w:vAlign w:val="center"/>
          </w:tcPr>
          <w:p w14:paraId="7FB065D5">
            <w:pPr>
              <w:spacing w:after="0" w:line="276" w:lineRule="auto"/>
              <w:jc w:val="both"/>
              <w:rPr>
                <w:rFonts w:ascii="Times New Roman" w:hAnsi="Times New Roman" w:eastAsia="Times New Roman" w:cs="Times New Roman"/>
                <w:bCs/>
                <w:sz w:val="16"/>
                <w:szCs w:val="16"/>
              </w:rPr>
            </w:pPr>
            <w:r>
              <w:rPr>
                <w:rFonts w:ascii="Times New Roman" w:hAnsi="Times New Roman" w:eastAsia="Times New Roman" w:cs="Times New Roman"/>
                <w:bCs/>
                <w:sz w:val="16"/>
                <w:szCs w:val="16"/>
              </w:rPr>
              <w:t xml:space="preserve">Completed -Defect Liability Period </w:t>
            </w:r>
          </w:p>
        </w:tc>
      </w:tr>
      <w:tr w14:paraId="3FBA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9C35030">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54E84A8E">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Construction of 1No. CHPS Compound</w:t>
            </w:r>
          </w:p>
        </w:tc>
        <w:tc>
          <w:tcPr>
            <w:tcW w:w="968" w:type="dxa"/>
            <w:tcBorders>
              <w:top w:val="single" w:color="auto" w:sz="4" w:space="0"/>
              <w:left w:val="single" w:color="auto" w:sz="4" w:space="0"/>
              <w:bottom w:val="single" w:color="auto" w:sz="4" w:space="0"/>
              <w:right w:val="single" w:color="auto" w:sz="4" w:space="0"/>
            </w:tcBorders>
            <w:vAlign w:val="center"/>
          </w:tcPr>
          <w:p w14:paraId="6E811302">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68C3235E">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Mpintimpi </w:t>
            </w:r>
          </w:p>
        </w:tc>
        <w:tc>
          <w:tcPr>
            <w:tcW w:w="1164" w:type="dxa"/>
            <w:tcBorders>
              <w:top w:val="single" w:color="auto" w:sz="4" w:space="0"/>
              <w:left w:val="single" w:color="auto" w:sz="4" w:space="0"/>
              <w:bottom w:val="single" w:color="auto" w:sz="4" w:space="0"/>
              <w:right w:val="single" w:color="auto" w:sz="4" w:space="0"/>
            </w:tcBorders>
            <w:vAlign w:val="center"/>
          </w:tcPr>
          <w:p w14:paraId="2130BFDE">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Gu-manuel Co.Limited</w:t>
            </w:r>
          </w:p>
        </w:tc>
        <w:tc>
          <w:tcPr>
            <w:tcW w:w="1120" w:type="dxa"/>
            <w:tcBorders>
              <w:top w:val="single" w:color="auto" w:sz="4" w:space="0"/>
              <w:left w:val="single" w:color="auto" w:sz="4" w:space="0"/>
              <w:bottom w:val="single" w:color="auto" w:sz="4" w:space="0"/>
              <w:right w:val="single" w:color="auto" w:sz="4" w:space="0"/>
            </w:tcBorders>
            <w:noWrap/>
            <w:vAlign w:val="center"/>
          </w:tcPr>
          <w:p w14:paraId="663D5EA5">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493,312.68</w:t>
            </w:r>
          </w:p>
        </w:tc>
        <w:tc>
          <w:tcPr>
            <w:tcW w:w="980" w:type="dxa"/>
            <w:tcBorders>
              <w:top w:val="single" w:color="auto" w:sz="4" w:space="0"/>
              <w:left w:val="single" w:color="auto" w:sz="4" w:space="0"/>
              <w:bottom w:val="single" w:color="auto" w:sz="4" w:space="0"/>
              <w:right w:val="single" w:color="auto" w:sz="4" w:space="0"/>
            </w:tcBorders>
            <w:noWrap/>
            <w:vAlign w:val="center"/>
          </w:tcPr>
          <w:p w14:paraId="5B64C638">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441529DC">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02/11/21</w:t>
            </w:r>
          </w:p>
        </w:tc>
        <w:tc>
          <w:tcPr>
            <w:tcW w:w="980" w:type="dxa"/>
            <w:tcBorders>
              <w:top w:val="single" w:color="auto" w:sz="4" w:space="0"/>
              <w:left w:val="single" w:color="auto" w:sz="4" w:space="0"/>
              <w:bottom w:val="single" w:color="auto" w:sz="4" w:space="0"/>
              <w:right w:val="single" w:color="auto" w:sz="4" w:space="0"/>
            </w:tcBorders>
            <w:noWrap/>
            <w:vAlign w:val="center"/>
          </w:tcPr>
          <w:p w14:paraId="7AF3BCC0">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21/12/21</w:t>
            </w:r>
          </w:p>
        </w:tc>
        <w:tc>
          <w:tcPr>
            <w:tcW w:w="1043" w:type="dxa"/>
            <w:tcBorders>
              <w:top w:val="single" w:color="auto" w:sz="4" w:space="0"/>
              <w:left w:val="single" w:color="auto" w:sz="4" w:space="0"/>
              <w:bottom w:val="single" w:color="auto" w:sz="4" w:space="0"/>
              <w:right w:val="single" w:color="auto" w:sz="4" w:space="0"/>
            </w:tcBorders>
            <w:noWrap/>
            <w:vAlign w:val="center"/>
          </w:tcPr>
          <w:p w14:paraId="739D1E2A">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21/04/22</w:t>
            </w:r>
          </w:p>
        </w:tc>
        <w:tc>
          <w:tcPr>
            <w:tcW w:w="1217" w:type="dxa"/>
            <w:tcBorders>
              <w:top w:val="single" w:color="auto" w:sz="4" w:space="0"/>
              <w:left w:val="single" w:color="auto" w:sz="4" w:space="0"/>
              <w:bottom w:val="single" w:color="auto" w:sz="4" w:space="0"/>
              <w:right w:val="single" w:color="auto" w:sz="4" w:space="0"/>
            </w:tcBorders>
            <w:noWrap/>
            <w:vAlign w:val="center"/>
          </w:tcPr>
          <w:p w14:paraId="6D9B1A61">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433,821.26</w:t>
            </w:r>
          </w:p>
        </w:tc>
        <w:tc>
          <w:tcPr>
            <w:tcW w:w="1120" w:type="dxa"/>
            <w:tcBorders>
              <w:top w:val="single" w:color="auto" w:sz="4" w:space="0"/>
              <w:left w:val="single" w:color="auto" w:sz="4" w:space="0"/>
              <w:bottom w:val="single" w:color="auto" w:sz="4" w:space="0"/>
              <w:right w:val="single" w:color="auto" w:sz="4" w:space="0"/>
            </w:tcBorders>
            <w:noWrap/>
            <w:vAlign w:val="center"/>
          </w:tcPr>
          <w:p w14:paraId="724FF572">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59,491.42</w:t>
            </w:r>
          </w:p>
        </w:tc>
        <w:tc>
          <w:tcPr>
            <w:tcW w:w="1001" w:type="dxa"/>
            <w:tcBorders>
              <w:top w:val="single" w:color="auto" w:sz="4" w:space="0"/>
              <w:left w:val="single" w:color="auto" w:sz="4" w:space="0"/>
              <w:bottom w:val="single" w:color="auto" w:sz="4" w:space="0"/>
              <w:right w:val="single" w:color="auto" w:sz="4" w:space="0"/>
            </w:tcBorders>
            <w:noWrap/>
            <w:vAlign w:val="center"/>
          </w:tcPr>
          <w:p w14:paraId="0087FA26">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98%</w:t>
            </w:r>
          </w:p>
        </w:tc>
        <w:tc>
          <w:tcPr>
            <w:tcW w:w="1134" w:type="dxa"/>
            <w:tcBorders>
              <w:top w:val="single" w:color="auto" w:sz="4" w:space="0"/>
              <w:left w:val="single" w:color="auto" w:sz="4" w:space="0"/>
              <w:bottom w:val="single" w:color="auto" w:sz="4" w:space="0"/>
              <w:right w:val="single" w:color="auto" w:sz="4" w:space="0"/>
            </w:tcBorders>
            <w:noWrap/>
            <w:vAlign w:val="center"/>
          </w:tcPr>
          <w:p w14:paraId="7B942E49">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60288" behindDoc="0" locked="0" layoutInCell="1" allowOverlap="1">
                  <wp:simplePos x="0" y="0"/>
                  <wp:positionH relativeFrom="column">
                    <wp:posOffset>-5715</wp:posOffset>
                  </wp:positionH>
                  <wp:positionV relativeFrom="paragraph">
                    <wp:posOffset>-15875</wp:posOffset>
                  </wp:positionV>
                  <wp:extent cx="640080" cy="300355"/>
                  <wp:effectExtent l="0" t="0" r="7620" b="4445"/>
                  <wp:wrapNone/>
                  <wp:docPr id="1161713478" name="Picture 60" descr="20230222_06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13478" name="Picture 60" descr="20230222_061840"/>
                          <pic:cNvPicPr>
                            <a:picLocks noChangeAspect="1" noChangeArrowheads="1"/>
                          </pic:cNvPicPr>
                        </pic:nvPicPr>
                        <pic:blipFill>
                          <a:blip r:embed="rId109" cstate="print">
                            <a:extLst>
                              <a:ext uri="{28A0092B-C50C-407E-A947-70E740481C1C}">
                                <a14:useLocalDpi xmlns:a14="http://schemas.microsoft.com/office/drawing/2010/main" val="0"/>
                              </a:ext>
                            </a:extLst>
                          </a:blip>
                          <a:srcRect b="35957"/>
                          <a:stretch>
                            <a:fillRect/>
                          </a:stretch>
                        </pic:blipFill>
                        <pic:spPr>
                          <a:xfrm>
                            <a:off x="0" y="0"/>
                            <a:ext cx="640080" cy="300355"/>
                          </a:xfrm>
                          <a:prstGeom prst="rect">
                            <a:avLst/>
                          </a:prstGeom>
                          <a:noFill/>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7EC0A658">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Cs/>
                <w:sz w:val="16"/>
                <w:szCs w:val="16"/>
              </w:rPr>
              <w:t xml:space="preserve">Finishing </w:t>
            </w:r>
          </w:p>
        </w:tc>
      </w:tr>
      <w:tr w14:paraId="4DA4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18FA3D5">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2E8D073C">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1No. 12-Seater W/C toilet with mechanized borehole</w:t>
            </w:r>
          </w:p>
        </w:tc>
        <w:tc>
          <w:tcPr>
            <w:tcW w:w="968" w:type="dxa"/>
            <w:tcBorders>
              <w:top w:val="single" w:color="auto" w:sz="4" w:space="0"/>
              <w:left w:val="single" w:color="auto" w:sz="4" w:space="0"/>
              <w:bottom w:val="single" w:color="auto" w:sz="4" w:space="0"/>
              <w:right w:val="single" w:color="auto" w:sz="4" w:space="0"/>
            </w:tcBorders>
            <w:vAlign w:val="center"/>
          </w:tcPr>
          <w:p w14:paraId="735B4F27">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Social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10F87A8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Amuana Praso</w:t>
            </w:r>
          </w:p>
        </w:tc>
        <w:tc>
          <w:tcPr>
            <w:tcW w:w="1164" w:type="dxa"/>
            <w:tcBorders>
              <w:top w:val="single" w:color="auto" w:sz="4" w:space="0"/>
              <w:left w:val="single" w:color="auto" w:sz="4" w:space="0"/>
              <w:bottom w:val="single" w:color="auto" w:sz="4" w:space="0"/>
              <w:right w:val="single" w:color="auto" w:sz="4" w:space="0"/>
            </w:tcBorders>
            <w:vAlign w:val="center"/>
          </w:tcPr>
          <w:p w14:paraId="2780CA6F">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Ikeboa Co. Limited</w:t>
            </w:r>
          </w:p>
        </w:tc>
        <w:tc>
          <w:tcPr>
            <w:tcW w:w="1120" w:type="dxa"/>
            <w:tcBorders>
              <w:top w:val="single" w:color="auto" w:sz="4" w:space="0"/>
              <w:left w:val="single" w:color="auto" w:sz="4" w:space="0"/>
              <w:bottom w:val="single" w:color="auto" w:sz="4" w:space="0"/>
              <w:right w:val="single" w:color="auto" w:sz="4" w:space="0"/>
            </w:tcBorders>
            <w:noWrap/>
            <w:vAlign w:val="center"/>
          </w:tcPr>
          <w:p w14:paraId="12E2CBCF">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445,793.40</w:t>
            </w:r>
          </w:p>
        </w:tc>
        <w:tc>
          <w:tcPr>
            <w:tcW w:w="980" w:type="dxa"/>
            <w:tcBorders>
              <w:top w:val="single" w:color="auto" w:sz="4" w:space="0"/>
              <w:left w:val="single" w:color="auto" w:sz="4" w:space="0"/>
              <w:bottom w:val="single" w:color="auto" w:sz="4" w:space="0"/>
              <w:right w:val="single" w:color="auto" w:sz="4" w:space="0"/>
            </w:tcBorders>
            <w:noWrap/>
            <w:vAlign w:val="center"/>
          </w:tcPr>
          <w:p w14:paraId="21B1829E">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DACF-RFG</w:t>
            </w:r>
          </w:p>
        </w:tc>
        <w:tc>
          <w:tcPr>
            <w:tcW w:w="918" w:type="dxa"/>
            <w:tcBorders>
              <w:top w:val="single" w:color="auto" w:sz="4" w:space="0"/>
              <w:left w:val="single" w:color="auto" w:sz="4" w:space="0"/>
              <w:bottom w:val="single" w:color="auto" w:sz="4" w:space="0"/>
              <w:right w:val="single" w:color="auto" w:sz="4" w:space="0"/>
            </w:tcBorders>
            <w:noWrap/>
            <w:vAlign w:val="center"/>
          </w:tcPr>
          <w:p w14:paraId="31ECA6A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01/08/24</w:t>
            </w:r>
          </w:p>
        </w:tc>
        <w:tc>
          <w:tcPr>
            <w:tcW w:w="980" w:type="dxa"/>
            <w:tcBorders>
              <w:top w:val="single" w:color="auto" w:sz="4" w:space="0"/>
              <w:left w:val="single" w:color="auto" w:sz="4" w:space="0"/>
              <w:bottom w:val="single" w:color="auto" w:sz="4" w:space="0"/>
              <w:right w:val="single" w:color="auto" w:sz="4" w:space="0"/>
            </w:tcBorders>
            <w:noWrap/>
            <w:vAlign w:val="center"/>
          </w:tcPr>
          <w:p w14:paraId="5EC1A0B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05/08/24</w:t>
            </w:r>
          </w:p>
        </w:tc>
        <w:tc>
          <w:tcPr>
            <w:tcW w:w="1043" w:type="dxa"/>
            <w:tcBorders>
              <w:top w:val="single" w:color="auto" w:sz="4" w:space="0"/>
              <w:left w:val="single" w:color="auto" w:sz="4" w:space="0"/>
              <w:bottom w:val="single" w:color="auto" w:sz="4" w:space="0"/>
              <w:right w:val="single" w:color="auto" w:sz="4" w:space="0"/>
            </w:tcBorders>
            <w:noWrap/>
            <w:vAlign w:val="center"/>
          </w:tcPr>
          <w:p w14:paraId="45407795">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26/01/25</w:t>
            </w:r>
          </w:p>
        </w:tc>
        <w:tc>
          <w:tcPr>
            <w:tcW w:w="1217" w:type="dxa"/>
            <w:tcBorders>
              <w:top w:val="single" w:color="auto" w:sz="4" w:space="0"/>
              <w:left w:val="single" w:color="auto" w:sz="4" w:space="0"/>
              <w:bottom w:val="single" w:color="auto" w:sz="4" w:space="0"/>
              <w:right w:val="single" w:color="auto" w:sz="4" w:space="0"/>
            </w:tcBorders>
            <w:noWrap/>
            <w:vAlign w:val="center"/>
          </w:tcPr>
          <w:p w14:paraId="553871C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377,823.99</w:t>
            </w:r>
          </w:p>
        </w:tc>
        <w:tc>
          <w:tcPr>
            <w:tcW w:w="1120" w:type="dxa"/>
            <w:tcBorders>
              <w:top w:val="single" w:color="auto" w:sz="4" w:space="0"/>
              <w:left w:val="single" w:color="auto" w:sz="4" w:space="0"/>
              <w:bottom w:val="single" w:color="auto" w:sz="4" w:space="0"/>
              <w:right w:val="single" w:color="auto" w:sz="4" w:space="0"/>
            </w:tcBorders>
            <w:noWrap/>
            <w:vAlign w:val="center"/>
          </w:tcPr>
          <w:p w14:paraId="7172F481">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67,969.41</w:t>
            </w:r>
          </w:p>
        </w:tc>
        <w:tc>
          <w:tcPr>
            <w:tcW w:w="1001" w:type="dxa"/>
            <w:tcBorders>
              <w:top w:val="single" w:color="auto" w:sz="4" w:space="0"/>
              <w:left w:val="single" w:color="auto" w:sz="4" w:space="0"/>
              <w:bottom w:val="single" w:color="auto" w:sz="4" w:space="0"/>
              <w:right w:val="single" w:color="auto" w:sz="4" w:space="0"/>
            </w:tcBorders>
            <w:noWrap/>
            <w:vAlign w:val="center"/>
          </w:tcPr>
          <w:p w14:paraId="621ADEB0">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3BDE0072">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64384" behindDoc="0" locked="0" layoutInCell="1" allowOverlap="1">
                  <wp:simplePos x="0" y="0"/>
                  <wp:positionH relativeFrom="column">
                    <wp:posOffset>-40005</wp:posOffset>
                  </wp:positionH>
                  <wp:positionV relativeFrom="paragraph">
                    <wp:posOffset>-27940</wp:posOffset>
                  </wp:positionV>
                  <wp:extent cx="697865" cy="57785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697865" cy="577850"/>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4EC3EE94">
            <w:pPr>
              <w:spacing w:after="0" w:line="276" w:lineRule="auto"/>
              <w:jc w:val="both"/>
              <w:rPr>
                <w:rFonts w:ascii="Times New Roman" w:hAnsi="Times New Roman" w:eastAsia="Times New Roman" w:cs="Times New Roman"/>
                <w:bCs/>
                <w:sz w:val="16"/>
                <w:szCs w:val="16"/>
              </w:rPr>
            </w:pPr>
            <w:r>
              <w:rPr>
                <w:rFonts w:ascii="Times New Roman" w:hAnsi="Times New Roman" w:eastAsia="Times New Roman" w:cs="Times New Roman"/>
                <w:bCs/>
                <w:sz w:val="16"/>
                <w:szCs w:val="16"/>
              </w:rPr>
              <w:t xml:space="preserve">Completed  </w:t>
            </w:r>
          </w:p>
        </w:tc>
      </w:tr>
      <w:tr w14:paraId="493C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3B53AAE5">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13CFDE0C">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fence wall Landscaping and Furnishing of Adausena Library</w:t>
            </w:r>
          </w:p>
        </w:tc>
        <w:tc>
          <w:tcPr>
            <w:tcW w:w="968" w:type="dxa"/>
            <w:tcBorders>
              <w:top w:val="single" w:color="auto" w:sz="4" w:space="0"/>
              <w:left w:val="single" w:color="auto" w:sz="4" w:space="0"/>
              <w:bottom w:val="single" w:color="auto" w:sz="4" w:space="0"/>
              <w:right w:val="single" w:color="auto" w:sz="4" w:space="0"/>
            </w:tcBorders>
            <w:vAlign w:val="center"/>
          </w:tcPr>
          <w:p w14:paraId="28863772">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Social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4009D606">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Adausena/ Hweakwae</w:t>
            </w:r>
          </w:p>
        </w:tc>
        <w:tc>
          <w:tcPr>
            <w:tcW w:w="1164" w:type="dxa"/>
            <w:tcBorders>
              <w:top w:val="single" w:color="auto" w:sz="4" w:space="0"/>
              <w:left w:val="single" w:color="auto" w:sz="4" w:space="0"/>
              <w:bottom w:val="single" w:color="auto" w:sz="4" w:space="0"/>
              <w:right w:val="single" w:color="auto" w:sz="4" w:space="0"/>
            </w:tcBorders>
            <w:vAlign w:val="center"/>
          </w:tcPr>
          <w:p w14:paraId="54647434">
            <w:pPr>
              <w:spacing w:after="0" w:line="276" w:lineRule="auto"/>
              <w:ind w:left="209" w:hanging="10"/>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Markplant Enterprise </w:t>
            </w:r>
          </w:p>
        </w:tc>
        <w:tc>
          <w:tcPr>
            <w:tcW w:w="1120" w:type="dxa"/>
            <w:tcBorders>
              <w:top w:val="single" w:color="auto" w:sz="4" w:space="0"/>
              <w:left w:val="single" w:color="auto" w:sz="4" w:space="0"/>
              <w:bottom w:val="single" w:color="auto" w:sz="4" w:space="0"/>
              <w:right w:val="single" w:color="auto" w:sz="4" w:space="0"/>
            </w:tcBorders>
            <w:noWrap/>
            <w:vAlign w:val="center"/>
          </w:tcPr>
          <w:p w14:paraId="2CCAC86E">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549,914.40</w:t>
            </w:r>
          </w:p>
        </w:tc>
        <w:tc>
          <w:tcPr>
            <w:tcW w:w="980" w:type="dxa"/>
            <w:tcBorders>
              <w:top w:val="single" w:color="auto" w:sz="4" w:space="0"/>
              <w:left w:val="single" w:color="auto" w:sz="4" w:space="0"/>
              <w:bottom w:val="single" w:color="auto" w:sz="4" w:space="0"/>
              <w:right w:val="single" w:color="auto" w:sz="4" w:space="0"/>
            </w:tcBorders>
            <w:noWrap/>
            <w:vAlign w:val="center"/>
          </w:tcPr>
          <w:p w14:paraId="7A78001F">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68A98F22">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01/08/24</w:t>
            </w:r>
          </w:p>
        </w:tc>
        <w:tc>
          <w:tcPr>
            <w:tcW w:w="980" w:type="dxa"/>
            <w:tcBorders>
              <w:top w:val="single" w:color="auto" w:sz="4" w:space="0"/>
              <w:left w:val="single" w:color="auto" w:sz="4" w:space="0"/>
              <w:bottom w:val="single" w:color="auto" w:sz="4" w:space="0"/>
              <w:right w:val="single" w:color="auto" w:sz="4" w:space="0"/>
            </w:tcBorders>
            <w:noWrap/>
            <w:vAlign w:val="center"/>
          </w:tcPr>
          <w:p w14:paraId="4BE4FE8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05/08/24</w:t>
            </w:r>
          </w:p>
        </w:tc>
        <w:tc>
          <w:tcPr>
            <w:tcW w:w="1043" w:type="dxa"/>
            <w:tcBorders>
              <w:top w:val="single" w:color="auto" w:sz="4" w:space="0"/>
              <w:left w:val="single" w:color="auto" w:sz="4" w:space="0"/>
              <w:bottom w:val="single" w:color="auto" w:sz="4" w:space="0"/>
              <w:right w:val="single" w:color="auto" w:sz="4" w:space="0"/>
            </w:tcBorders>
            <w:noWrap/>
            <w:vAlign w:val="center"/>
          </w:tcPr>
          <w:p w14:paraId="2B04EEC3">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31/12/24</w:t>
            </w:r>
          </w:p>
        </w:tc>
        <w:tc>
          <w:tcPr>
            <w:tcW w:w="1217" w:type="dxa"/>
            <w:tcBorders>
              <w:top w:val="single" w:color="auto" w:sz="4" w:space="0"/>
              <w:left w:val="single" w:color="auto" w:sz="4" w:space="0"/>
              <w:bottom w:val="single" w:color="auto" w:sz="4" w:space="0"/>
              <w:right w:val="single" w:color="auto" w:sz="4" w:space="0"/>
            </w:tcBorders>
            <w:noWrap/>
            <w:vAlign w:val="center"/>
          </w:tcPr>
          <w:p w14:paraId="77487C63">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320,000.00</w:t>
            </w:r>
          </w:p>
        </w:tc>
        <w:tc>
          <w:tcPr>
            <w:tcW w:w="1120" w:type="dxa"/>
            <w:tcBorders>
              <w:top w:val="single" w:color="auto" w:sz="4" w:space="0"/>
              <w:left w:val="single" w:color="auto" w:sz="4" w:space="0"/>
              <w:bottom w:val="single" w:color="auto" w:sz="4" w:space="0"/>
              <w:right w:val="single" w:color="auto" w:sz="4" w:space="0"/>
            </w:tcBorders>
            <w:noWrap/>
            <w:vAlign w:val="center"/>
          </w:tcPr>
          <w:p w14:paraId="32D8E218">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229</w:t>
            </w:r>
            <w:r>
              <w:rPr>
                <w:rFonts w:hint="default" w:ascii="Times New Roman" w:hAnsi="Times New Roman" w:eastAsia="Times New Roman" w:cs="Times New Roman"/>
                <w:sz w:val="16"/>
                <w:szCs w:val="16"/>
              </w:rPr>
              <w:t>,</w:t>
            </w:r>
            <w:r>
              <w:rPr>
                <w:rFonts w:ascii="Times New Roman" w:hAnsi="Times New Roman" w:eastAsia="Times New Roman" w:cs="Times New Roman"/>
                <w:sz w:val="16"/>
                <w:szCs w:val="16"/>
              </w:rPr>
              <w:t>914.4</w:t>
            </w:r>
          </w:p>
        </w:tc>
        <w:tc>
          <w:tcPr>
            <w:tcW w:w="1001" w:type="dxa"/>
            <w:tcBorders>
              <w:top w:val="single" w:color="auto" w:sz="4" w:space="0"/>
              <w:left w:val="single" w:color="auto" w:sz="4" w:space="0"/>
              <w:bottom w:val="single" w:color="auto" w:sz="4" w:space="0"/>
              <w:right w:val="single" w:color="auto" w:sz="4" w:space="0"/>
            </w:tcBorders>
            <w:noWrap/>
            <w:vAlign w:val="center"/>
          </w:tcPr>
          <w:p w14:paraId="45667D92">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1134" w:type="dxa"/>
            <w:tcBorders>
              <w:top w:val="single" w:color="auto" w:sz="4" w:space="0"/>
              <w:left w:val="single" w:color="auto" w:sz="4" w:space="0"/>
              <w:bottom w:val="single" w:color="auto" w:sz="4" w:space="0"/>
              <w:right w:val="single" w:color="auto" w:sz="4" w:space="0"/>
            </w:tcBorders>
            <w:noWrap/>
            <w:vAlign w:val="center"/>
          </w:tcPr>
          <w:p w14:paraId="07EC357D">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65408" behindDoc="0" locked="0" layoutInCell="1" allowOverlap="1">
                  <wp:simplePos x="0" y="0"/>
                  <wp:positionH relativeFrom="column">
                    <wp:posOffset>3810</wp:posOffset>
                  </wp:positionH>
                  <wp:positionV relativeFrom="paragraph">
                    <wp:posOffset>-32385</wp:posOffset>
                  </wp:positionV>
                  <wp:extent cx="658495" cy="525780"/>
                  <wp:effectExtent l="0" t="0" r="8255" b="7620"/>
                  <wp:wrapNone/>
                  <wp:docPr id="1063553939" name="Picture 1063553939" descr="C:\Users\D\OneDrive\Pictures\New folder\WhatsApp Image 2026-02-22 at 16.3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53939" name="Picture 1063553939" descr="C:\Users\D\OneDrive\Pictures\New folder\WhatsApp Image 2026-02-22 at 16.37.07.jpe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658495" cy="525780"/>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0BCCC206">
            <w:pPr>
              <w:spacing w:after="0" w:line="276" w:lineRule="auto"/>
              <w:jc w:val="both"/>
              <w:rPr>
                <w:rFonts w:ascii="Times New Roman" w:hAnsi="Times New Roman" w:eastAsia="Times New Roman" w:cs="Times New Roman"/>
                <w:bCs/>
                <w:sz w:val="16"/>
                <w:szCs w:val="16"/>
              </w:rPr>
            </w:pPr>
            <w:r>
              <w:rPr>
                <w:rFonts w:ascii="Times New Roman" w:hAnsi="Times New Roman" w:eastAsia="Times New Roman" w:cs="Times New Roman"/>
                <w:bCs/>
                <w:sz w:val="16"/>
                <w:szCs w:val="16"/>
              </w:rPr>
              <w:t>On-going</w:t>
            </w:r>
          </w:p>
        </w:tc>
      </w:tr>
      <w:tr w14:paraId="7C85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644"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1F5256A6">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34D2D41B">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Construction of 1No. 6-Unit classroom block, office, store, staff common room, library and 4-Seater KVIP </w:t>
            </w:r>
          </w:p>
        </w:tc>
        <w:tc>
          <w:tcPr>
            <w:tcW w:w="968" w:type="dxa"/>
            <w:tcBorders>
              <w:top w:val="single" w:color="auto" w:sz="4" w:space="0"/>
              <w:left w:val="single" w:color="auto" w:sz="4" w:space="0"/>
              <w:bottom w:val="single" w:color="auto" w:sz="4" w:space="0"/>
              <w:right w:val="single" w:color="auto" w:sz="4" w:space="0"/>
            </w:tcBorders>
            <w:vAlign w:val="center"/>
          </w:tcPr>
          <w:p w14:paraId="171FD352">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3AFABD84">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Odontuase </w:t>
            </w:r>
          </w:p>
        </w:tc>
        <w:tc>
          <w:tcPr>
            <w:tcW w:w="1164" w:type="dxa"/>
            <w:tcBorders>
              <w:top w:val="single" w:color="auto" w:sz="4" w:space="0"/>
              <w:left w:val="single" w:color="auto" w:sz="4" w:space="0"/>
              <w:bottom w:val="single" w:color="auto" w:sz="4" w:space="0"/>
              <w:right w:val="single" w:color="auto" w:sz="4" w:space="0"/>
            </w:tcBorders>
            <w:vAlign w:val="center"/>
          </w:tcPr>
          <w:p w14:paraId="40454ACB">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M/S Guzuu Enterprise</w:t>
            </w:r>
          </w:p>
        </w:tc>
        <w:tc>
          <w:tcPr>
            <w:tcW w:w="1120" w:type="dxa"/>
            <w:tcBorders>
              <w:top w:val="single" w:color="auto" w:sz="4" w:space="0"/>
              <w:left w:val="single" w:color="auto" w:sz="4" w:space="0"/>
              <w:bottom w:val="single" w:color="auto" w:sz="4" w:space="0"/>
              <w:right w:val="single" w:color="auto" w:sz="4" w:space="0"/>
            </w:tcBorders>
            <w:noWrap/>
            <w:vAlign w:val="center"/>
          </w:tcPr>
          <w:p w14:paraId="3D531F6B">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545,418.72</w:t>
            </w:r>
          </w:p>
        </w:tc>
        <w:tc>
          <w:tcPr>
            <w:tcW w:w="980" w:type="dxa"/>
            <w:tcBorders>
              <w:top w:val="single" w:color="auto" w:sz="4" w:space="0"/>
              <w:left w:val="single" w:color="auto" w:sz="4" w:space="0"/>
              <w:bottom w:val="single" w:color="auto" w:sz="4" w:space="0"/>
              <w:right w:val="single" w:color="auto" w:sz="4" w:space="0"/>
            </w:tcBorders>
            <w:noWrap/>
            <w:vAlign w:val="center"/>
          </w:tcPr>
          <w:p w14:paraId="38E92543">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63474990">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06/11/20</w:t>
            </w:r>
          </w:p>
        </w:tc>
        <w:tc>
          <w:tcPr>
            <w:tcW w:w="980" w:type="dxa"/>
            <w:tcBorders>
              <w:top w:val="single" w:color="auto" w:sz="4" w:space="0"/>
              <w:left w:val="single" w:color="auto" w:sz="4" w:space="0"/>
              <w:bottom w:val="single" w:color="auto" w:sz="4" w:space="0"/>
              <w:right w:val="single" w:color="auto" w:sz="4" w:space="0"/>
            </w:tcBorders>
            <w:noWrap/>
            <w:vAlign w:val="center"/>
          </w:tcPr>
          <w:p w14:paraId="40DE0B6E">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15/12/20</w:t>
            </w:r>
          </w:p>
        </w:tc>
        <w:tc>
          <w:tcPr>
            <w:tcW w:w="1043" w:type="dxa"/>
            <w:tcBorders>
              <w:top w:val="single" w:color="auto" w:sz="4" w:space="0"/>
              <w:left w:val="single" w:color="auto" w:sz="4" w:space="0"/>
              <w:bottom w:val="single" w:color="auto" w:sz="4" w:space="0"/>
              <w:right w:val="single" w:color="auto" w:sz="4" w:space="0"/>
            </w:tcBorders>
            <w:noWrap/>
            <w:vAlign w:val="center"/>
          </w:tcPr>
          <w:p w14:paraId="216946F1">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15/06/21</w:t>
            </w:r>
          </w:p>
        </w:tc>
        <w:tc>
          <w:tcPr>
            <w:tcW w:w="1217" w:type="dxa"/>
            <w:tcBorders>
              <w:top w:val="single" w:color="auto" w:sz="4" w:space="0"/>
              <w:left w:val="single" w:color="auto" w:sz="4" w:space="0"/>
              <w:bottom w:val="single" w:color="auto" w:sz="4" w:space="0"/>
              <w:right w:val="single" w:color="auto" w:sz="4" w:space="0"/>
            </w:tcBorders>
            <w:noWrap/>
            <w:vAlign w:val="center"/>
          </w:tcPr>
          <w:p w14:paraId="5ED34611">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471,043.44</w:t>
            </w:r>
          </w:p>
        </w:tc>
        <w:tc>
          <w:tcPr>
            <w:tcW w:w="1120" w:type="dxa"/>
            <w:tcBorders>
              <w:top w:val="single" w:color="auto" w:sz="4" w:space="0"/>
              <w:left w:val="single" w:color="auto" w:sz="4" w:space="0"/>
              <w:bottom w:val="single" w:color="auto" w:sz="4" w:space="0"/>
              <w:right w:val="single" w:color="auto" w:sz="4" w:space="0"/>
            </w:tcBorders>
            <w:noWrap/>
            <w:vAlign w:val="center"/>
          </w:tcPr>
          <w:p w14:paraId="6A33F50E">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74,375.28</w:t>
            </w:r>
          </w:p>
        </w:tc>
        <w:tc>
          <w:tcPr>
            <w:tcW w:w="1001" w:type="dxa"/>
            <w:tcBorders>
              <w:top w:val="single" w:color="auto" w:sz="4" w:space="0"/>
              <w:left w:val="single" w:color="auto" w:sz="4" w:space="0"/>
              <w:bottom w:val="single" w:color="auto" w:sz="4" w:space="0"/>
              <w:right w:val="single" w:color="auto" w:sz="4" w:space="0"/>
            </w:tcBorders>
            <w:noWrap/>
            <w:vAlign w:val="center"/>
          </w:tcPr>
          <w:p w14:paraId="664D1617">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365561CC">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61312" behindDoc="0" locked="0" layoutInCell="1" allowOverlap="1">
                  <wp:simplePos x="0" y="0"/>
                  <wp:positionH relativeFrom="column">
                    <wp:posOffset>-40005</wp:posOffset>
                  </wp:positionH>
                  <wp:positionV relativeFrom="paragraph">
                    <wp:posOffset>-15240</wp:posOffset>
                  </wp:positionV>
                  <wp:extent cx="692150" cy="864235"/>
                  <wp:effectExtent l="0" t="0" r="0" b="0"/>
                  <wp:wrapNone/>
                  <wp:docPr id="1845172278" name="Picture 81" descr="DSC_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72278" name="Picture 81" descr="DSC_0041"/>
                          <pic:cNvPicPr>
                            <a:picLocks noChangeAspect="1" noChangeArrowheads="1"/>
                          </pic:cNvPicPr>
                        </pic:nvPicPr>
                        <pic:blipFill>
                          <a:blip r:embed="rId112" cstate="print">
                            <a:extLst>
                              <a:ext uri="{28A0092B-C50C-407E-A947-70E740481C1C}">
                                <a14:useLocalDpi xmlns:a14="http://schemas.microsoft.com/office/drawing/2010/main" val="0"/>
                              </a:ext>
                            </a:extLst>
                          </a:blip>
                          <a:srcRect l="2496" t="36127" r="694" b="20183"/>
                          <a:stretch>
                            <a:fillRect/>
                          </a:stretch>
                        </pic:blipFill>
                        <pic:spPr>
                          <a:xfrm>
                            <a:off x="0" y="0"/>
                            <a:ext cx="692150" cy="864235"/>
                          </a:xfrm>
                          <a:prstGeom prst="rect">
                            <a:avLst/>
                          </a:prstGeom>
                          <a:noFill/>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0495A91A">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Completed </w:t>
            </w:r>
          </w:p>
        </w:tc>
      </w:tr>
      <w:tr w14:paraId="4564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15EB6E73">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03F900D5">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Construction of 1No.16-seater W/C toilet with 4No. Bathroom</w:t>
            </w:r>
          </w:p>
        </w:tc>
        <w:tc>
          <w:tcPr>
            <w:tcW w:w="968" w:type="dxa"/>
            <w:tcBorders>
              <w:top w:val="single" w:color="auto" w:sz="4" w:space="0"/>
              <w:left w:val="single" w:color="auto" w:sz="4" w:space="0"/>
              <w:bottom w:val="single" w:color="auto" w:sz="4" w:space="0"/>
              <w:right w:val="single" w:color="auto" w:sz="4" w:space="0"/>
            </w:tcBorders>
            <w:vAlign w:val="center"/>
          </w:tcPr>
          <w:p w14:paraId="02A190B3">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0B38C1AD">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New Abirem</w:t>
            </w:r>
          </w:p>
        </w:tc>
        <w:tc>
          <w:tcPr>
            <w:tcW w:w="1164" w:type="dxa"/>
            <w:tcBorders>
              <w:top w:val="single" w:color="auto" w:sz="4" w:space="0"/>
              <w:left w:val="single" w:color="auto" w:sz="4" w:space="0"/>
              <w:bottom w:val="single" w:color="auto" w:sz="4" w:space="0"/>
              <w:right w:val="single" w:color="auto" w:sz="4" w:space="0"/>
            </w:tcBorders>
            <w:vAlign w:val="center"/>
          </w:tcPr>
          <w:p w14:paraId="1B6AC87E">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M/S Jossam Ghana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6A9A4E8C">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418,315.17</w:t>
            </w:r>
          </w:p>
        </w:tc>
        <w:tc>
          <w:tcPr>
            <w:tcW w:w="980" w:type="dxa"/>
            <w:tcBorders>
              <w:top w:val="single" w:color="auto" w:sz="4" w:space="0"/>
              <w:left w:val="single" w:color="auto" w:sz="4" w:space="0"/>
              <w:bottom w:val="single" w:color="auto" w:sz="4" w:space="0"/>
              <w:right w:val="single" w:color="auto" w:sz="4" w:space="0"/>
            </w:tcBorders>
            <w:noWrap/>
            <w:vAlign w:val="center"/>
          </w:tcPr>
          <w:p w14:paraId="3CC43813">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4EA7FF94">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28/07/22</w:t>
            </w:r>
          </w:p>
        </w:tc>
        <w:tc>
          <w:tcPr>
            <w:tcW w:w="980" w:type="dxa"/>
            <w:tcBorders>
              <w:top w:val="single" w:color="auto" w:sz="4" w:space="0"/>
              <w:left w:val="single" w:color="auto" w:sz="4" w:space="0"/>
              <w:bottom w:val="single" w:color="auto" w:sz="4" w:space="0"/>
              <w:right w:val="single" w:color="auto" w:sz="4" w:space="0"/>
            </w:tcBorders>
            <w:noWrap/>
            <w:vAlign w:val="center"/>
          </w:tcPr>
          <w:p w14:paraId="1E049FF8">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22/08/22</w:t>
            </w:r>
          </w:p>
        </w:tc>
        <w:tc>
          <w:tcPr>
            <w:tcW w:w="1043" w:type="dxa"/>
            <w:tcBorders>
              <w:top w:val="single" w:color="auto" w:sz="4" w:space="0"/>
              <w:left w:val="single" w:color="auto" w:sz="4" w:space="0"/>
              <w:bottom w:val="single" w:color="auto" w:sz="4" w:space="0"/>
              <w:right w:val="single" w:color="auto" w:sz="4" w:space="0"/>
            </w:tcBorders>
            <w:noWrap/>
            <w:vAlign w:val="center"/>
          </w:tcPr>
          <w:p w14:paraId="3279A059">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26/01/23</w:t>
            </w:r>
          </w:p>
        </w:tc>
        <w:tc>
          <w:tcPr>
            <w:tcW w:w="1217" w:type="dxa"/>
            <w:tcBorders>
              <w:top w:val="single" w:color="auto" w:sz="4" w:space="0"/>
              <w:left w:val="single" w:color="auto" w:sz="4" w:space="0"/>
              <w:bottom w:val="single" w:color="auto" w:sz="4" w:space="0"/>
              <w:right w:val="single" w:color="auto" w:sz="4" w:space="0"/>
            </w:tcBorders>
            <w:noWrap/>
            <w:vAlign w:val="center"/>
          </w:tcPr>
          <w:p w14:paraId="7F093318">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62,747.28</w:t>
            </w:r>
          </w:p>
        </w:tc>
        <w:tc>
          <w:tcPr>
            <w:tcW w:w="1120" w:type="dxa"/>
            <w:tcBorders>
              <w:top w:val="single" w:color="auto" w:sz="4" w:space="0"/>
              <w:left w:val="single" w:color="auto" w:sz="4" w:space="0"/>
              <w:bottom w:val="single" w:color="auto" w:sz="4" w:space="0"/>
              <w:right w:val="single" w:color="auto" w:sz="4" w:space="0"/>
            </w:tcBorders>
            <w:noWrap/>
            <w:vAlign w:val="center"/>
          </w:tcPr>
          <w:p w14:paraId="1EFA2BD6">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175,567.89</w:t>
            </w:r>
          </w:p>
        </w:tc>
        <w:tc>
          <w:tcPr>
            <w:tcW w:w="1001" w:type="dxa"/>
            <w:tcBorders>
              <w:top w:val="single" w:color="auto" w:sz="4" w:space="0"/>
              <w:left w:val="single" w:color="auto" w:sz="4" w:space="0"/>
              <w:bottom w:val="single" w:color="auto" w:sz="4" w:space="0"/>
              <w:right w:val="single" w:color="auto" w:sz="4" w:space="0"/>
            </w:tcBorders>
            <w:noWrap/>
            <w:vAlign w:val="center"/>
          </w:tcPr>
          <w:p w14:paraId="7E707DFD">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75%</w:t>
            </w:r>
          </w:p>
        </w:tc>
        <w:tc>
          <w:tcPr>
            <w:tcW w:w="1134" w:type="dxa"/>
            <w:tcBorders>
              <w:top w:val="single" w:color="auto" w:sz="4" w:space="0"/>
              <w:left w:val="single" w:color="auto" w:sz="4" w:space="0"/>
              <w:bottom w:val="single" w:color="auto" w:sz="4" w:space="0"/>
              <w:right w:val="single" w:color="auto" w:sz="4" w:space="0"/>
            </w:tcBorders>
            <w:noWrap/>
            <w:vAlign w:val="center"/>
          </w:tcPr>
          <w:p w14:paraId="3C9E5D87">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63360" behindDoc="1" locked="0" layoutInCell="1" allowOverlap="1">
                  <wp:simplePos x="0" y="0"/>
                  <wp:positionH relativeFrom="column">
                    <wp:posOffset>-43815</wp:posOffset>
                  </wp:positionH>
                  <wp:positionV relativeFrom="paragraph">
                    <wp:posOffset>-61595</wp:posOffset>
                  </wp:positionV>
                  <wp:extent cx="723265" cy="594360"/>
                  <wp:effectExtent l="0" t="0" r="635" b="0"/>
                  <wp:wrapNone/>
                  <wp:docPr id="526742102" name="Picture 526742102" descr="C:\Users\Frederick Antwi\Pictures\GOVERNMENT PROJECTS-BIRIM NORTH DISTRICT\WhatsApp Image 2024-08-09 at 12.44.08_80fb5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42102" name="Picture 526742102" descr="C:\Users\Frederick Antwi\Pictures\GOVERNMENT PROJECTS-BIRIM NORTH DISTRICT\WhatsApp Image 2024-08-09 at 12.44.08_80fb53c7.jpg"/>
                          <pic:cNvPicPr>
                            <a:picLocks noChangeAspect="1" noChangeArrowheads="1"/>
                          </pic:cNvPicPr>
                        </pic:nvPicPr>
                        <pic:blipFill>
                          <a:blip r:embed="rId113" cstate="print">
                            <a:extLst>
                              <a:ext uri="{28A0092B-C50C-407E-A947-70E740481C1C}">
                                <a14:useLocalDpi xmlns:a14="http://schemas.microsoft.com/office/drawing/2010/main" val="0"/>
                              </a:ext>
                            </a:extLst>
                          </a:blip>
                          <a:srcRect t="11846" b="21215"/>
                          <a:stretch>
                            <a:fillRect/>
                          </a:stretch>
                        </pic:blipFill>
                        <pic:spPr>
                          <a:xfrm>
                            <a:off x="0" y="0"/>
                            <a:ext cx="723265" cy="594360"/>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2276DF62">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On-going </w:t>
            </w:r>
          </w:p>
        </w:tc>
      </w:tr>
      <w:tr w14:paraId="5DA2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680"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3A16E322">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1B146512">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16-Seater W/C toilet</w:t>
            </w:r>
          </w:p>
        </w:tc>
        <w:tc>
          <w:tcPr>
            <w:tcW w:w="968" w:type="dxa"/>
            <w:tcBorders>
              <w:top w:val="single" w:color="auto" w:sz="4" w:space="0"/>
              <w:left w:val="single" w:color="auto" w:sz="4" w:space="0"/>
              <w:bottom w:val="single" w:color="auto" w:sz="4" w:space="0"/>
              <w:right w:val="single" w:color="auto" w:sz="4" w:space="0"/>
            </w:tcBorders>
            <w:vAlign w:val="center"/>
          </w:tcPr>
          <w:p w14:paraId="78763595">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Social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69F2915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Akoase St. Michael’s SHS </w:t>
            </w:r>
          </w:p>
        </w:tc>
        <w:tc>
          <w:tcPr>
            <w:tcW w:w="1164" w:type="dxa"/>
            <w:tcBorders>
              <w:top w:val="single" w:color="auto" w:sz="4" w:space="0"/>
              <w:left w:val="single" w:color="auto" w:sz="4" w:space="0"/>
              <w:bottom w:val="single" w:color="auto" w:sz="4" w:space="0"/>
              <w:right w:val="single" w:color="auto" w:sz="4" w:space="0"/>
            </w:tcBorders>
            <w:vAlign w:val="center"/>
          </w:tcPr>
          <w:p w14:paraId="19BF568F">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M/S IkeBoa Company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5C686126">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537,575.85</w:t>
            </w:r>
          </w:p>
        </w:tc>
        <w:tc>
          <w:tcPr>
            <w:tcW w:w="980" w:type="dxa"/>
            <w:tcBorders>
              <w:top w:val="single" w:color="auto" w:sz="4" w:space="0"/>
              <w:left w:val="single" w:color="auto" w:sz="4" w:space="0"/>
              <w:bottom w:val="single" w:color="auto" w:sz="4" w:space="0"/>
              <w:right w:val="single" w:color="auto" w:sz="4" w:space="0"/>
            </w:tcBorders>
            <w:noWrap/>
            <w:vAlign w:val="center"/>
          </w:tcPr>
          <w:p w14:paraId="2B63C74C">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2DE175F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18/01/24</w:t>
            </w:r>
          </w:p>
        </w:tc>
        <w:tc>
          <w:tcPr>
            <w:tcW w:w="980" w:type="dxa"/>
            <w:tcBorders>
              <w:top w:val="single" w:color="auto" w:sz="4" w:space="0"/>
              <w:left w:val="single" w:color="auto" w:sz="4" w:space="0"/>
              <w:bottom w:val="single" w:color="auto" w:sz="4" w:space="0"/>
              <w:right w:val="single" w:color="auto" w:sz="4" w:space="0"/>
            </w:tcBorders>
            <w:noWrap/>
            <w:vAlign w:val="center"/>
          </w:tcPr>
          <w:p w14:paraId="3D767565">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22/01/24</w:t>
            </w:r>
          </w:p>
        </w:tc>
        <w:tc>
          <w:tcPr>
            <w:tcW w:w="1043" w:type="dxa"/>
            <w:tcBorders>
              <w:top w:val="single" w:color="auto" w:sz="4" w:space="0"/>
              <w:left w:val="single" w:color="auto" w:sz="4" w:space="0"/>
              <w:bottom w:val="single" w:color="auto" w:sz="4" w:space="0"/>
              <w:right w:val="single" w:color="auto" w:sz="4" w:space="0"/>
            </w:tcBorders>
            <w:noWrap/>
            <w:vAlign w:val="center"/>
          </w:tcPr>
          <w:p w14:paraId="04826B2D">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10/07/24</w:t>
            </w:r>
          </w:p>
        </w:tc>
        <w:tc>
          <w:tcPr>
            <w:tcW w:w="1217" w:type="dxa"/>
            <w:tcBorders>
              <w:top w:val="single" w:color="auto" w:sz="4" w:space="0"/>
              <w:left w:val="single" w:color="auto" w:sz="4" w:space="0"/>
              <w:bottom w:val="single" w:color="auto" w:sz="4" w:space="0"/>
              <w:right w:val="single" w:color="auto" w:sz="4" w:space="0"/>
            </w:tcBorders>
            <w:noWrap/>
            <w:vAlign w:val="center"/>
          </w:tcPr>
          <w:p w14:paraId="1A565BC4">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233,756.20</w:t>
            </w:r>
          </w:p>
        </w:tc>
        <w:tc>
          <w:tcPr>
            <w:tcW w:w="1120" w:type="dxa"/>
            <w:tcBorders>
              <w:top w:val="single" w:color="auto" w:sz="4" w:space="0"/>
              <w:left w:val="single" w:color="auto" w:sz="4" w:space="0"/>
              <w:bottom w:val="single" w:color="auto" w:sz="4" w:space="0"/>
              <w:right w:val="single" w:color="auto" w:sz="4" w:space="0"/>
            </w:tcBorders>
            <w:noWrap/>
            <w:vAlign w:val="center"/>
          </w:tcPr>
          <w:p w14:paraId="7E0B2D70">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303.819.65</w:t>
            </w:r>
          </w:p>
        </w:tc>
        <w:tc>
          <w:tcPr>
            <w:tcW w:w="1001" w:type="dxa"/>
            <w:tcBorders>
              <w:top w:val="single" w:color="auto" w:sz="4" w:space="0"/>
              <w:left w:val="single" w:color="auto" w:sz="4" w:space="0"/>
              <w:bottom w:val="single" w:color="auto" w:sz="4" w:space="0"/>
              <w:right w:val="single" w:color="auto" w:sz="4" w:space="0"/>
            </w:tcBorders>
            <w:noWrap/>
            <w:vAlign w:val="center"/>
          </w:tcPr>
          <w:p w14:paraId="0DDB2D95">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2C706567">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66432" behindDoc="0" locked="0" layoutInCell="1" allowOverlap="1">
                  <wp:simplePos x="0" y="0"/>
                  <wp:positionH relativeFrom="column">
                    <wp:posOffset>-57150</wp:posOffset>
                  </wp:positionH>
                  <wp:positionV relativeFrom="paragraph">
                    <wp:posOffset>-22225</wp:posOffset>
                  </wp:positionV>
                  <wp:extent cx="698500" cy="931545"/>
                  <wp:effectExtent l="0" t="0" r="6350" b="1905"/>
                  <wp:wrapNone/>
                  <wp:docPr id="1616977651" name="Picture 161697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77651" name="Picture 161697765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698500" cy="931545"/>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6EEEE3B3">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On-going </w:t>
            </w:r>
          </w:p>
        </w:tc>
      </w:tr>
      <w:tr w14:paraId="76A9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36AD43AE">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300A41BA">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Pavement of lorry Park</w:t>
            </w:r>
          </w:p>
        </w:tc>
        <w:tc>
          <w:tcPr>
            <w:tcW w:w="968" w:type="dxa"/>
            <w:tcBorders>
              <w:top w:val="single" w:color="auto" w:sz="4" w:space="0"/>
              <w:left w:val="single" w:color="auto" w:sz="4" w:space="0"/>
              <w:bottom w:val="single" w:color="auto" w:sz="4" w:space="0"/>
              <w:right w:val="single" w:color="auto" w:sz="4" w:space="0"/>
            </w:tcBorders>
            <w:vAlign w:val="center"/>
          </w:tcPr>
          <w:p w14:paraId="14885C68">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Economic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4E4DC178">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New Abirem</w:t>
            </w:r>
          </w:p>
        </w:tc>
        <w:tc>
          <w:tcPr>
            <w:tcW w:w="1164" w:type="dxa"/>
            <w:tcBorders>
              <w:top w:val="single" w:color="auto" w:sz="4" w:space="0"/>
              <w:left w:val="single" w:color="auto" w:sz="4" w:space="0"/>
              <w:bottom w:val="single" w:color="auto" w:sz="4" w:space="0"/>
              <w:right w:val="single" w:color="auto" w:sz="4" w:space="0"/>
            </w:tcBorders>
            <w:vAlign w:val="center"/>
          </w:tcPr>
          <w:p w14:paraId="18040192">
            <w:pPr>
              <w:spacing w:after="0" w:line="276" w:lineRule="auto"/>
              <w:ind w:left="209" w:hanging="10"/>
              <w:rPr>
                <w:rFonts w:ascii="Times New Roman" w:hAnsi="Times New Roman" w:eastAsia="Times New Roman" w:cs="Times New Roman"/>
                <w:b/>
                <w:sz w:val="16"/>
                <w:szCs w:val="16"/>
              </w:rPr>
            </w:pPr>
            <w:r>
              <w:rPr>
                <w:rFonts w:ascii="Times New Roman" w:hAnsi="Times New Roman" w:eastAsia="Times New Roman" w:cs="Times New Roman"/>
                <w:sz w:val="16"/>
                <w:szCs w:val="16"/>
              </w:rPr>
              <w:t>M/S Palm Tre0e Cont.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6CBD03DF">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682,069.57</w:t>
            </w:r>
          </w:p>
        </w:tc>
        <w:tc>
          <w:tcPr>
            <w:tcW w:w="980" w:type="dxa"/>
            <w:tcBorders>
              <w:top w:val="single" w:color="auto" w:sz="4" w:space="0"/>
              <w:left w:val="single" w:color="auto" w:sz="4" w:space="0"/>
              <w:bottom w:val="single" w:color="auto" w:sz="4" w:space="0"/>
              <w:right w:val="single" w:color="auto" w:sz="4" w:space="0"/>
            </w:tcBorders>
            <w:noWrap/>
            <w:vAlign w:val="center"/>
          </w:tcPr>
          <w:p w14:paraId="2A4A66F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 / IGF</w:t>
            </w:r>
          </w:p>
        </w:tc>
        <w:tc>
          <w:tcPr>
            <w:tcW w:w="918" w:type="dxa"/>
            <w:tcBorders>
              <w:top w:val="single" w:color="auto" w:sz="4" w:space="0"/>
              <w:left w:val="single" w:color="auto" w:sz="4" w:space="0"/>
              <w:bottom w:val="single" w:color="auto" w:sz="4" w:space="0"/>
              <w:right w:val="single" w:color="auto" w:sz="4" w:space="0"/>
            </w:tcBorders>
            <w:noWrap/>
            <w:vAlign w:val="center"/>
          </w:tcPr>
          <w:p w14:paraId="035BF8CE">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15/10/15</w:t>
            </w:r>
          </w:p>
        </w:tc>
        <w:tc>
          <w:tcPr>
            <w:tcW w:w="980" w:type="dxa"/>
            <w:tcBorders>
              <w:top w:val="single" w:color="auto" w:sz="4" w:space="0"/>
              <w:left w:val="single" w:color="auto" w:sz="4" w:space="0"/>
              <w:bottom w:val="single" w:color="auto" w:sz="4" w:space="0"/>
              <w:right w:val="single" w:color="auto" w:sz="4" w:space="0"/>
            </w:tcBorders>
            <w:noWrap/>
            <w:vAlign w:val="center"/>
          </w:tcPr>
          <w:p w14:paraId="7A64B4B9">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29/02/16</w:t>
            </w:r>
          </w:p>
        </w:tc>
        <w:tc>
          <w:tcPr>
            <w:tcW w:w="1043" w:type="dxa"/>
            <w:tcBorders>
              <w:top w:val="single" w:color="auto" w:sz="4" w:space="0"/>
              <w:left w:val="single" w:color="auto" w:sz="4" w:space="0"/>
              <w:bottom w:val="single" w:color="auto" w:sz="4" w:space="0"/>
              <w:right w:val="single" w:color="auto" w:sz="4" w:space="0"/>
            </w:tcBorders>
            <w:noWrap/>
            <w:vAlign w:val="center"/>
          </w:tcPr>
          <w:p w14:paraId="04761EC3">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30/06/16</w:t>
            </w:r>
          </w:p>
        </w:tc>
        <w:tc>
          <w:tcPr>
            <w:tcW w:w="1217" w:type="dxa"/>
            <w:tcBorders>
              <w:top w:val="single" w:color="auto" w:sz="4" w:space="0"/>
              <w:left w:val="single" w:color="auto" w:sz="4" w:space="0"/>
              <w:bottom w:val="single" w:color="auto" w:sz="4" w:space="0"/>
              <w:right w:val="single" w:color="auto" w:sz="4" w:space="0"/>
            </w:tcBorders>
            <w:noWrap/>
            <w:vAlign w:val="center"/>
          </w:tcPr>
          <w:p w14:paraId="4286D490">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620,062.59</w:t>
            </w:r>
          </w:p>
        </w:tc>
        <w:tc>
          <w:tcPr>
            <w:tcW w:w="1120" w:type="dxa"/>
            <w:tcBorders>
              <w:top w:val="single" w:color="auto" w:sz="4" w:space="0"/>
              <w:left w:val="single" w:color="auto" w:sz="4" w:space="0"/>
              <w:bottom w:val="single" w:color="auto" w:sz="4" w:space="0"/>
              <w:right w:val="single" w:color="auto" w:sz="4" w:space="0"/>
            </w:tcBorders>
            <w:noWrap/>
            <w:vAlign w:val="center"/>
          </w:tcPr>
          <w:p w14:paraId="49957B38">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62,006.98</w:t>
            </w:r>
          </w:p>
        </w:tc>
        <w:tc>
          <w:tcPr>
            <w:tcW w:w="1001" w:type="dxa"/>
            <w:tcBorders>
              <w:top w:val="single" w:color="auto" w:sz="4" w:space="0"/>
              <w:left w:val="single" w:color="auto" w:sz="4" w:space="0"/>
              <w:bottom w:val="single" w:color="auto" w:sz="4" w:space="0"/>
              <w:right w:val="single" w:color="auto" w:sz="4" w:space="0"/>
            </w:tcBorders>
            <w:noWrap/>
            <w:vAlign w:val="center"/>
          </w:tcPr>
          <w:p w14:paraId="06A4E432">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7ED30543">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67456" behindDoc="0" locked="0" layoutInCell="1" allowOverlap="1">
                  <wp:simplePos x="0" y="0"/>
                  <wp:positionH relativeFrom="column">
                    <wp:posOffset>-63500</wp:posOffset>
                  </wp:positionH>
                  <wp:positionV relativeFrom="paragraph">
                    <wp:posOffset>13970</wp:posOffset>
                  </wp:positionV>
                  <wp:extent cx="685165" cy="293370"/>
                  <wp:effectExtent l="0" t="0" r="635" b="0"/>
                  <wp:wrapNone/>
                  <wp:docPr id="564556672" name="Picture 564556672" descr="C:\Users\D\OneDrive\Pictures\New folder\IMG-20250212-WA0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56672" name="Picture 564556672" descr="C:\Users\D\OneDrive\Pictures\New folder\IMG-20250212-WA00071.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685165" cy="293370"/>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007DD6E7">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Completed and in use </w:t>
            </w:r>
          </w:p>
        </w:tc>
      </w:tr>
      <w:tr w14:paraId="5BDA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265C6A9">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4583262C">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Construction of 1No. 64 lockable stores</w:t>
            </w:r>
          </w:p>
        </w:tc>
        <w:tc>
          <w:tcPr>
            <w:tcW w:w="968" w:type="dxa"/>
            <w:tcBorders>
              <w:top w:val="single" w:color="auto" w:sz="4" w:space="0"/>
              <w:left w:val="single" w:color="auto" w:sz="4" w:space="0"/>
              <w:bottom w:val="single" w:color="auto" w:sz="4" w:space="0"/>
              <w:right w:val="single" w:color="auto" w:sz="4" w:space="0"/>
            </w:tcBorders>
            <w:vAlign w:val="center"/>
          </w:tcPr>
          <w:p w14:paraId="535C4BA9">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Economic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16CF7EE5">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New Abirem</w:t>
            </w:r>
          </w:p>
        </w:tc>
        <w:tc>
          <w:tcPr>
            <w:tcW w:w="1164" w:type="dxa"/>
            <w:tcBorders>
              <w:top w:val="single" w:color="auto" w:sz="4" w:space="0"/>
              <w:left w:val="single" w:color="auto" w:sz="4" w:space="0"/>
              <w:bottom w:val="single" w:color="auto" w:sz="4" w:space="0"/>
              <w:right w:val="single" w:color="auto" w:sz="4" w:space="0"/>
            </w:tcBorders>
            <w:vAlign w:val="center"/>
          </w:tcPr>
          <w:p w14:paraId="3143CB45">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Gu-manuel comp.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10D9D2C3">
            <w:pPr>
              <w:spacing w:after="0" w:line="276" w:lineRule="auto"/>
              <w:ind w:left="209" w:hanging="10"/>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3,223,871.86</w:t>
            </w:r>
          </w:p>
        </w:tc>
        <w:tc>
          <w:tcPr>
            <w:tcW w:w="980" w:type="dxa"/>
            <w:tcBorders>
              <w:top w:val="single" w:color="auto" w:sz="4" w:space="0"/>
              <w:left w:val="single" w:color="auto" w:sz="4" w:space="0"/>
              <w:bottom w:val="single" w:color="auto" w:sz="4" w:space="0"/>
              <w:right w:val="single" w:color="auto" w:sz="4" w:space="0"/>
            </w:tcBorders>
            <w:noWrap/>
            <w:vAlign w:val="center"/>
          </w:tcPr>
          <w:p w14:paraId="0F773B4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 / IGF</w:t>
            </w:r>
          </w:p>
        </w:tc>
        <w:tc>
          <w:tcPr>
            <w:tcW w:w="918" w:type="dxa"/>
            <w:tcBorders>
              <w:top w:val="single" w:color="auto" w:sz="4" w:space="0"/>
              <w:left w:val="single" w:color="auto" w:sz="4" w:space="0"/>
              <w:bottom w:val="single" w:color="auto" w:sz="4" w:space="0"/>
              <w:right w:val="single" w:color="auto" w:sz="4" w:space="0"/>
            </w:tcBorders>
            <w:noWrap/>
            <w:vAlign w:val="center"/>
          </w:tcPr>
          <w:p w14:paraId="6C294A8F">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28/07/22</w:t>
            </w:r>
          </w:p>
        </w:tc>
        <w:tc>
          <w:tcPr>
            <w:tcW w:w="980" w:type="dxa"/>
            <w:tcBorders>
              <w:top w:val="single" w:color="auto" w:sz="4" w:space="0"/>
              <w:left w:val="single" w:color="auto" w:sz="4" w:space="0"/>
              <w:bottom w:val="single" w:color="auto" w:sz="4" w:space="0"/>
              <w:right w:val="single" w:color="auto" w:sz="4" w:space="0"/>
            </w:tcBorders>
            <w:noWrap/>
            <w:vAlign w:val="center"/>
          </w:tcPr>
          <w:p w14:paraId="071E4C42">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22/08/22</w:t>
            </w:r>
          </w:p>
        </w:tc>
        <w:tc>
          <w:tcPr>
            <w:tcW w:w="1043" w:type="dxa"/>
            <w:tcBorders>
              <w:top w:val="single" w:color="auto" w:sz="4" w:space="0"/>
              <w:left w:val="single" w:color="auto" w:sz="4" w:space="0"/>
              <w:bottom w:val="single" w:color="auto" w:sz="4" w:space="0"/>
              <w:right w:val="single" w:color="auto" w:sz="4" w:space="0"/>
            </w:tcBorders>
            <w:noWrap/>
            <w:vAlign w:val="center"/>
          </w:tcPr>
          <w:p w14:paraId="306040A4">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25/07/23</w:t>
            </w:r>
          </w:p>
        </w:tc>
        <w:tc>
          <w:tcPr>
            <w:tcW w:w="1217" w:type="dxa"/>
            <w:tcBorders>
              <w:top w:val="single" w:color="auto" w:sz="4" w:space="0"/>
              <w:left w:val="single" w:color="auto" w:sz="4" w:space="0"/>
              <w:bottom w:val="single" w:color="auto" w:sz="4" w:space="0"/>
              <w:right w:val="single" w:color="auto" w:sz="4" w:space="0"/>
            </w:tcBorders>
            <w:noWrap/>
            <w:vAlign w:val="center"/>
          </w:tcPr>
          <w:p w14:paraId="779CA40C">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2,909,552.57</w:t>
            </w:r>
          </w:p>
        </w:tc>
        <w:tc>
          <w:tcPr>
            <w:tcW w:w="1120" w:type="dxa"/>
            <w:tcBorders>
              <w:top w:val="single" w:color="auto" w:sz="4" w:space="0"/>
              <w:left w:val="single" w:color="auto" w:sz="4" w:space="0"/>
              <w:bottom w:val="single" w:color="auto" w:sz="4" w:space="0"/>
              <w:right w:val="single" w:color="auto" w:sz="4" w:space="0"/>
            </w:tcBorders>
            <w:noWrap/>
            <w:vAlign w:val="center"/>
          </w:tcPr>
          <w:p w14:paraId="4F4E63B5">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314,319.29</w:t>
            </w:r>
          </w:p>
        </w:tc>
        <w:tc>
          <w:tcPr>
            <w:tcW w:w="1001" w:type="dxa"/>
            <w:tcBorders>
              <w:top w:val="single" w:color="auto" w:sz="4" w:space="0"/>
              <w:left w:val="single" w:color="auto" w:sz="4" w:space="0"/>
              <w:bottom w:val="single" w:color="auto" w:sz="4" w:space="0"/>
              <w:right w:val="single" w:color="auto" w:sz="4" w:space="0"/>
            </w:tcBorders>
            <w:noWrap/>
            <w:vAlign w:val="center"/>
          </w:tcPr>
          <w:p w14:paraId="0D5400A2">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95%</w:t>
            </w:r>
          </w:p>
        </w:tc>
        <w:tc>
          <w:tcPr>
            <w:tcW w:w="1134" w:type="dxa"/>
            <w:tcBorders>
              <w:top w:val="single" w:color="auto" w:sz="4" w:space="0"/>
              <w:left w:val="single" w:color="auto" w:sz="4" w:space="0"/>
              <w:bottom w:val="single" w:color="auto" w:sz="4" w:space="0"/>
              <w:right w:val="single" w:color="auto" w:sz="4" w:space="0"/>
            </w:tcBorders>
            <w:noWrap/>
            <w:vAlign w:val="center"/>
          </w:tcPr>
          <w:p w14:paraId="6AA8ED36">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68480" behindDoc="0" locked="0" layoutInCell="1" allowOverlap="1">
                  <wp:simplePos x="0" y="0"/>
                  <wp:positionH relativeFrom="column">
                    <wp:posOffset>-31115</wp:posOffset>
                  </wp:positionH>
                  <wp:positionV relativeFrom="paragraph">
                    <wp:posOffset>-61595</wp:posOffset>
                  </wp:positionV>
                  <wp:extent cx="666115" cy="358775"/>
                  <wp:effectExtent l="0" t="0" r="635" b="3175"/>
                  <wp:wrapNone/>
                  <wp:docPr id="707188432" name="Picture 707188432" descr="C:\Users\D\OneDrive\Pictures\New folder\WhatsApp Image 2026-02-23 at 11.2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88432" name="Picture 707188432" descr="C:\Users\D\OneDrive\Pictures\New folder\WhatsApp Image 2026-02-23 at 11.28.21.jpeg"/>
                          <pic:cNvPicPr>
                            <a:picLocks noChangeAspect="1" noChangeArrowheads="1"/>
                          </pic:cNvPicPr>
                        </pic:nvPicPr>
                        <pic:blipFill>
                          <a:blip r:embed="rId116" cstate="print">
                            <a:extLst>
                              <a:ext uri="{28A0092B-C50C-407E-A947-70E740481C1C}">
                                <a14:useLocalDpi xmlns:a14="http://schemas.microsoft.com/office/drawing/2010/main" val="0"/>
                              </a:ext>
                            </a:extLst>
                          </a:blip>
                          <a:srcRect b="35412"/>
                          <a:stretch>
                            <a:fillRect/>
                          </a:stretch>
                        </pic:blipFill>
                        <pic:spPr>
                          <a:xfrm>
                            <a:off x="0" y="0"/>
                            <a:ext cx="666115" cy="358775"/>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6DA130D1">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On-going </w:t>
            </w:r>
          </w:p>
        </w:tc>
      </w:tr>
      <w:tr w14:paraId="3213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11CEBE7">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7D92FF71">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1No. 8-Lockable Stores and Banking hall complex (phase I)</w:t>
            </w:r>
          </w:p>
        </w:tc>
        <w:tc>
          <w:tcPr>
            <w:tcW w:w="968" w:type="dxa"/>
            <w:tcBorders>
              <w:top w:val="single" w:color="auto" w:sz="4" w:space="0"/>
              <w:left w:val="single" w:color="auto" w:sz="4" w:space="0"/>
              <w:bottom w:val="single" w:color="auto" w:sz="4" w:space="0"/>
              <w:right w:val="single" w:color="auto" w:sz="4" w:space="0"/>
            </w:tcBorders>
            <w:vAlign w:val="center"/>
          </w:tcPr>
          <w:p w14:paraId="0B5E7C1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Economic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42CABFA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New Abirem</w:t>
            </w:r>
          </w:p>
        </w:tc>
        <w:tc>
          <w:tcPr>
            <w:tcW w:w="1164" w:type="dxa"/>
            <w:tcBorders>
              <w:top w:val="single" w:color="auto" w:sz="4" w:space="0"/>
              <w:left w:val="single" w:color="auto" w:sz="4" w:space="0"/>
              <w:bottom w:val="single" w:color="auto" w:sz="4" w:space="0"/>
              <w:right w:val="single" w:color="auto" w:sz="4" w:space="0"/>
            </w:tcBorders>
            <w:vAlign w:val="center"/>
          </w:tcPr>
          <w:p w14:paraId="7726CF24">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IkeBoa Company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26E58CBE">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2,263,619.61</w:t>
            </w:r>
          </w:p>
        </w:tc>
        <w:tc>
          <w:tcPr>
            <w:tcW w:w="980" w:type="dxa"/>
            <w:tcBorders>
              <w:top w:val="single" w:color="auto" w:sz="4" w:space="0"/>
              <w:left w:val="single" w:color="auto" w:sz="4" w:space="0"/>
              <w:bottom w:val="single" w:color="auto" w:sz="4" w:space="0"/>
              <w:right w:val="single" w:color="auto" w:sz="4" w:space="0"/>
            </w:tcBorders>
            <w:noWrap/>
            <w:vAlign w:val="center"/>
          </w:tcPr>
          <w:p w14:paraId="4F5527D2">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10E5721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01/10/24</w:t>
            </w:r>
          </w:p>
        </w:tc>
        <w:tc>
          <w:tcPr>
            <w:tcW w:w="980" w:type="dxa"/>
            <w:tcBorders>
              <w:top w:val="single" w:color="auto" w:sz="4" w:space="0"/>
              <w:left w:val="single" w:color="auto" w:sz="4" w:space="0"/>
              <w:bottom w:val="single" w:color="auto" w:sz="4" w:space="0"/>
              <w:right w:val="single" w:color="auto" w:sz="4" w:space="0"/>
            </w:tcBorders>
            <w:noWrap/>
            <w:vAlign w:val="center"/>
          </w:tcPr>
          <w:p w14:paraId="4D579FA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04/10/24</w:t>
            </w:r>
          </w:p>
        </w:tc>
        <w:tc>
          <w:tcPr>
            <w:tcW w:w="1043" w:type="dxa"/>
            <w:tcBorders>
              <w:top w:val="single" w:color="auto" w:sz="4" w:space="0"/>
              <w:left w:val="single" w:color="auto" w:sz="4" w:space="0"/>
              <w:bottom w:val="single" w:color="auto" w:sz="4" w:space="0"/>
              <w:right w:val="single" w:color="auto" w:sz="4" w:space="0"/>
            </w:tcBorders>
            <w:noWrap/>
            <w:vAlign w:val="center"/>
          </w:tcPr>
          <w:p w14:paraId="35955AD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04/06/25</w:t>
            </w:r>
          </w:p>
        </w:tc>
        <w:tc>
          <w:tcPr>
            <w:tcW w:w="1217" w:type="dxa"/>
            <w:tcBorders>
              <w:top w:val="single" w:color="auto" w:sz="4" w:space="0"/>
              <w:left w:val="single" w:color="auto" w:sz="4" w:space="0"/>
              <w:bottom w:val="single" w:color="auto" w:sz="4" w:space="0"/>
              <w:right w:val="single" w:color="auto" w:sz="4" w:space="0"/>
            </w:tcBorders>
            <w:noWrap/>
            <w:vAlign w:val="center"/>
          </w:tcPr>
          <w:p w14:paraId="3DCB6770">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800,000.00</w:t>
            </w:r>
          </w:p>
        </w:tc>
        <w:tc>
          <w:tcPr>
            <w:tcW w:w="1120" w:type="dxa"/>
            <w:tcBorders>
              <w:top w:val="single" w:color="auto" w:sz="4" w:space="0"/>
              <w:left w:val="single" w:color="auto" w:sz="4" w:space="0"/>
              <w:bottom w:val="single" w:color="auto" w:sz="4" w:space="0"/>
              <w:right w:val="single" w:color="auto" w:sz="4" w:space="0"/>
            </w:tcBorders>
            <w:noWrap/>
            <w:vAlign w:val="center"/>
          </w:tcPr>
          <w:p w14:paraId="3F4C1266">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1,463,619.61</w:t>
            </w:r>
          </w:p>
        </w:tc>
        <w:tc>
          <w:tcPr>
            <w:tcW w:w="1001" w:type="dxa"/>
            <w:tcBorders>
              <w:top w:val="single" w:color="auto" w:sz="4" w:space="0"/>
              <w:left w:val="single" w:color="auto" w:sz="4" w:space="0"/>
              <w:bottom w:val="single" w:color="auto" w:sz="4" w:space="0"/>
              <w:right w:val="single" w:color="auto" w:sz="4" w:space="0"/>
            </w:tcBorders>
            <w:noWrap/>
            <w:vAlign w:val="center"/>
          </w:tcPr>
          <w:p w14:paraId="646A9D4F">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6921B9C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69504" behindDoc="0" locked="0" layoutInCell="1" allowOverlap="1">
                  <wp:simplePos x="0" y="0"/>
                  <wp:positionH relativeFrom="column">
                    <wp:posOffset>-40005</wp:posOffset>
                  </wp:positionH>
                  <wp:positionV relativeFrom="paragraph">
                    <wp:posOffset>-20955</wp:posOffset>
                  </wp:positionV>
                  <wp:extent cx="676910" cy="723900"/>
                  <wp:effectExtent l="0" t="0" r="8890" b="0"/>
                  <wp:wrapNone/>
                  <wp:docPr id="2053631215" name="Picture 2053631215" descr="C:\Users\D\OneDrive\Pictures\New folder\WhatsApp Image 2026-02-22 at 16.37.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31215" name="Picture 2053631215" descr="C:\Users\D\OneDrive\Pictures\New folder\WhatsApp Image 2026-02-22 at 16.37.04.jpeg"/>
                          <pic:cNvPicPr>
                            <a:picLocks noChangeAspect="1" noChangeArrowheads="1"/>
                          </pic:cNvPicPr>
                        </pic:nvPicPr>
                        <pic:blipFill>
                          <a:blip r:embed="rId117" cstate="print">
                            <a:extLst>
                              <a:ext uri="{28A0092B-C50C-407E-A947-70E740481C1C}">
                                <a14:useLocalDpi xmlns:a14="http://schemas.microsoft.com/office/drawing/2010/main" val="0"/>
                              </a:ext>
                            </a:extLst>
                          </a:blip>
                          <a:srcRect b="18601"/>
                          <a:stretch>
                            <a:fillRect/>
                          </a:stretch>
                        </pic:blipFill>
                        <pic:spPr>
                          <a:xfrm>
                            <a:off x="0" y="0"/>
                            <a:ext cx="676910" cy="723900"/>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4DE0546B">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On-going </w:t>
            </w:r>
          </w:p>
        </w:tc>
      </w:tr>
      <w:tr w14:paraId="420F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2B6C9BE8">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00A5D479">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16-Lockable Stores (Phase II)</w:t>
            </w:r>
          </w:p>
        </w:tc>
        <w:tc>
          <w:tcPr>
            <w:tcW w:w="968" w:type="dxa"/>
            <w:tcBorders>
              <w:top w:val="single" w:color="auto" w:sz="4" w:space="0"/>
              <w:left w:val="single" w:color="auto" w:sz="4" w:space="0"/>
              <w:bottom w:val="single" w:color="auto" w:sz="4" w:space="0"/>
              <w:right w:val="single" w:color="auto" w:sz="4" w:space="0"/>
            </w:tcBorders>
            <w:vAlign w:val="center"/>
          </w:tcPr>
          <w:p w14:paraId="74D4DA7B">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Economic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24CE8730">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Afosu</w:t>
            </w:r>
          </w:p>
        </w:tc>
        <w:tc>
          <w:tcPr>
            <w:tcW w:w="1164" w:type="dxa"/>
            <w:tcBorders>
              <w:top w:val="single" w:color="auto" w:sz="4" w:space="0"/>
              <w:left w:val="single" w:color="auto" w:sz="4" w:space="0"/>
              <w:bottom w:val="single" w:color="auto" w:sz="4" w:space="0"/>
              <w:right w:val="single" w:color="auto" w:sz="4" w:space="0"/>
            </w:tcBorders>
            <w:vAlign w:val="center"/>
          </w:tcPr>
          <w:p w14:paraId="22250E09">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IkeBoa Company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029841B2">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2,019,400.15</w:t>
            </w:r>
          </w:p>
        </w:tc>
        <w:tc>
          <w:tcPr>
            <w:tcW w:w="980" w:type="dxa"/>
            <w:tcBorders>
              <w:top w:val="single" w:color="auto" w:sz="4" w:space="0"/>
              <w:left w:val="single" w:color="auto" w:sz="4" w:space="0"/>
              <w:bottom w:val="single" w:color="auto" w:sz="4" w:space="0"/>
              <w:right w:val="single" w:color="auto" w:sz="4" w:space="0"/>
            </w:tcBorders>
            <w:noWrap/>
            <w:vAlign w:val="center"/>
          </w:tcPr>
          <w:p w14:paraId="261CF5A6">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4008ACA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15/12/23</w:t>
            </w:r>
          </w:p>
        </w:tc>
        <w:tc>
          <w:tcPr>
            <w:tcW w:w="980" w:type="dxa"/>
            <w:tcBorders>
              <w:top w:val="single" w:color="auto" w:sz="4" w:space="0"/>
              <w:left w:val="single" w:color="auto" w:sz="4" w:space="0"/>
              <w:bottom w:val="single" w:color="auto" w:sz="4" w:space="0"/>
              <w:right w:val="single" w:color="auto" w:sz="4" w:space="0"/>
            </w:tcBorders>
            <w:noWrap/>
            <w:vAlign w:val="center"/>
          </w:tcPr>
          <w:p w14:paraId="27D59C1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02/01/24</w:t>
            </w:r>
          </w:p>
        </w:tc>
        <w:tc>
          <w:tcPr>
            <w:tcW w:w="1043" w:type="dxa"/>
            <w:tcBorders>
              <w:top w:val="single" w:color="auto" w:sz="4" w:space="0"/>
              <w:left w:val="single" w:color="auto" w:sz="4" w:space="0"/>
              <w:bottom w:val="single" w:color="auto" w:sz="4" w:space="0"/>
              <w:right w:val="single" w:color="auto" w:sz="4" w:space="0"/>
            </w:tcBorders>
            <w:noWrap/>
            <w:vAlign w:val="center"/>
          </w:tcPr>
          <w:p w14:paraId="48D17153">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31/05/24</w:t>
            </w:r>
          </w:p>
        </w:tc>
        <w:tc>
          <w:tcPr>
            <w:tcW w:w="1217" w:type="dxa"/>
            <w:tcBorders>
              <w:top w:val="single" w:color="auto" w:sz="4" w:space="0"/>
              <w:left w:val="single" w:color="auto" w:sz="4" w:space="0"/>
              <w:bottom w:val="single" w:color="auto" w:sz="4" w:space="0"/>
              <w:right w:val="single" w:color="auto" w:sz="4" w:space="0"/>
            </w:tcBorders>
            <w:noWrap/>
            <w:vAlign w:val="center"/>
          </w:tcPr>
          <w:p w14:paraId="25F550A0">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1,569,400.00</w:t>
            </w:r>
          </w:p>
        </w:tc>
        <w:tc>
          <w:tcPr>
            <w:tcW w:w="1120" w:type="dxa"/>
            <w:tcBorders>
              <w:top w:val="single" w:color="auto" w:sz="4" w:space="0"/>
              <w:left w:val="single" w:color="auto" w:sz="4" w:space="0"/>
              <w:bottom w:val="single" w:color="auto" w:sz="4" w:space="0"/>
              <w:right w:val="single" w:color="auto" w:sz="4" w:space="0"/>
            </w:tcBorders>
            <w:noWrap/>
            <w:vAlign w:val="center"/>
          </w:tcPr>
          <w:p w14:paraId="4F22CAF0">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450,000.15</w:t>
            </w:r>
          </w:p>
        </w:tc>
        <w:tc>
          <w:tcPr>
            <w:tcW w:w="1001" w:type="dxa"/>
            <w:tcBorders>
              <w:top w:val="single" w:color="auto" w:sz="4" w:space="0"/>
              <w:left w:val="single" w:color="auto" w:sz="4" w:space="0"/>
              <w:bottom w:val="single" w:color="auto" w:sz="4" w:space="0"/>
              <w:right w:val="single" w:color="auto" w:sz="4" w:space="0"/>
            </w:tcBorders>
            <w:noWrap/>
            <w:vAlign w:val="center"/>
          </w:tcPr>
          <w:p w14:paraId="04D0379A">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42F1BD5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62336" behindDoc="0" locked="0" layoutInCell="1" allowOverlap="1">
                  <wp:simplePos x="0" y="0"/>
                  <wp:positionH relativeFrom="column">
                    <wp:posOffset>-39370</wp:posOffset>
                  </wp:positionH>
                  <wp:positionV relativeFrom="paragraph">
                    <wp:posOffset>-635</wp:posOffset>
                  </wp:positionV>
                  <wp:extent cx="690245" cy="305435"/>
                  <wp:effectExtent l="0" t="0" r="0" b="0"/>
                  <wp:wrapNone/>
                  <wp:docPr id="1899367359" name="Picture 67" descr="DSC_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67359" name="Picture 67" descr="DSC_0584"/>
                          <pic:cNvPicPr>
                            <a:picLocks noChangeAspect="1" noChangeArrowheads="1"/>
                          </pic:cNvPicPr>
                        </pic:nvPicPr>
                        <pic:blipFill>
                          <a:blip r:embed="rId118" cstate="print">
                            <a:extLst>
                              <a:ext uri="{28A0092B-C50C-407E-A947-70E740481C1C}">
                                <a14:useLocalDpi xmlns:a14="http://schemas.microsoft.com/office/drawing/2010/main" val="0"/>
                              </a:ext>
                            </a:extLst>
                          </a:blip>
                          <a:srcRect l="12190" t="8734" r="568" b="19115"/>
                          <a:stretch>
                            <a:fillRect/>
                          </a:stretch>
                        </pic:blipFill>
                        <pic:spPr>
                          <a:xfrm>
                            <a:off x="0" y="0"/>
                            <a:ext cx="690245" cy="305435"/>
                          </a:xfrm>
                          <a:prstGeom prst="rect">
                            <a:avLst/>
                          </a:prstGeom>
                          <a:noFill/>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4EF903B3">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Completed</w:t>
            </w:r>
          </w:p>
        </w:tc>
      </w:tr>
      <w:tr w14:paraId="66AE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38919EB">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6DB447C7">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Construction of Sheds, Storeroom, Washroom, Chimney and connection of Electricity for Palm Oil Processing Group </w:t>
            </w:r>
          </w:p>
        </w:tc>
        <w:tc>
          <w:tcPr>
            <w:tcW w:w="968" w:type="dxa"/>
            <w:tcBorders>
              <w:top w:val="single" w:color="auto" w:sz="4" w:space="0"/>
              <w:left w:val="single" w:color="auto" w:sz="4" w:space="0"/>
              <w:bottom w:val="single" w:color="auto" w:sz="4" w:space="0"/>
              <w:right w:val="single" w:color="auto" w:sz="4" w:space="0"/>
            </w:tcBorders>
            <w:vAlign w:val="center"/>
          </w:tcPr>
          <w:p w14:paraId="38327D6D">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Economic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04029A3D">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Okaikrom </w:t>
            </w:r>
          </w:p>
        </w:tc>
        <w:tc>
          <w:tcPr>
            <w:tcW w:w="1164" w:type="dxa"/>
            <w:tcBorders>
              <w:top w:val="single" w:color="auto" w:sz="4" w:space="0"/>
              <w:left w:val="single" w:color="auto" w:sz="4" w:space="0"/>
              <w:bottom w:val="single" w:color="auto" w:sz="4" w:space="0"/>
              <w:right w:val="single" w:color="auto" w:sz="4" w:space="0"/>
            </w:tcBorders>
            <w:vAlign w:val="center"/>
          </w:tcPr>
          <w:p w14:paraId="72E3CF41">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M/S Markplant Enterprise </w:t>
            </w:r>
          </w:p>
        </w:tc>
        <w:tc>
          <w:tcPr>
            <w:tcW w:w="1120" w:type="dxa"/>
            <w:tcBorders>
              <w:top w:val="single" w:color="auto" w:sz="4" w:space="0"/>
              <w:left w:val="single" w:color="auto" w:sz="4" w:space="0"/>
              <w:bottom w:val="single" w:color="auto" w:sz="4" w:space="0"/>
              <w:right w:val="single" w:color="auto" w:sz="4" w:space="0"/>
            </w:tcBorders>
            <w:noWrap/>
            <w:vAlign w:val="center"/>
          </w:tcPr>
          <w:p w14:paraId="2892DA30">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547,960.00</w:t>
            </w:r>
          </w:p>
        </w:tc>
        <w:tc>
          <w:tcPr>
            <w:tcW w:w="980" w:type="dxa"/>
            <w:tcBorders>
              <w:top w:val="single" w:color="auto" w:sz="4" w:space="0"/>
              <w:left w:val="single" w:color="auto" w:sz="4" w:space="0"/>
              <w:bottom w:val="single" w:color="auto" w:sz="4" w:space="0"/>
              <w:right w:val="single" w:color="auto" w:sz="4" w:space="0"/>
            </w:tcBorders>
            <w:noWrap/>
            <w:vAlign w:val="center"/>
          </w:tcPr>
          <w:p w14:paraId="24C93ABB">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DACF-REG</w:t>
            </w:r>
          </w:p>
        </w:tc>
        <w:tc>
          <w:tcPr>
            <w:tcW w:w="918" w:type="dxa"/>
            <w:tcBorders>
              <w:top w:val="single" w:color="auto" w:sz="4" w:space="0"/>
              <w:left w:val="single" w:color="auto" w:sz="4" w:space="0"/>
              <w:bottom w:val="single" w:color="auto" w:sz="4" w:space="0"/>
              <w:right w:val="single" w:color="auto" w:sz="4" w:space="0"/>
            </w:tcBorders>
            <w:noWrap/>
            <w:vAlign w:val="center"/>
          </w:tcPr>
          <w:p w14:paraId="56DEE2D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10/10/24</w:t>
            </w:r>
          </w:p>
        </w:tc>
        <w:tc>
          <w:tcPr>
            <w:tcW w:w="980" w:type="dxa"/>
            <w:tcBorders>
              <w:top w:val="single" w:color="auto" w:sz="4" w:space="0"/>
              <w:left w:val="single" w:color="auto" w:sz="4" w:space="0"/>
              <w:bottom w:val="single" w:color="auto" w:sz="4" w:space="0"/>
              <w:right w:val="single" w:color="auto" w:sz="4" w:space="0"/>
            </w:tcBorders>
            <w:noWrap/>
            <w:vAlign w:val="center"/>
          </w:tcPr>
          <w:p w14:paraId="3FB20456">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15/10/24</w:t>
            </w:r>
          </w:p>
        </w:tc>
        <w:tc>
          <w:tcPr>
            <w:tcW w:w="1043" w:type="dxa"/>
            <w:tcBorders>
              <w:top w:val="single" w:color="auto" w:sz="4" w:space="0"/>
              <w:left w:val="single" w:color="auto" w:sz="4" w:space="0"/>
              <w:bottom w:val="single" w:color="auto" w:sz="4" w:space="0"/>
              <w:right w:val="single" w:color="auto" w:sz="4" w:space="0"/>
            </w:tcBorders>
            <w:noWrap/>
            <w:vAlign w:val="center"/>
          </w:tcPr>
          <w:p w14:paraId="2B5D3F18">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20/05/25</w:t>
            </w:r>
          </w:p>
        </w:tc>
        <w:tc>
          <w:tcPr>
            <w:tcW w:w="1217" w:type="dxa"/>
            <w:tcBorders>
              <w:top w:val="single" w:color="auto" w:sz="4" w:space="0"/>
              <w:left w:val="single" w:color="auto" w:sz="4" w:space="0"/>
              <w:bottom w:val="single" w:color="auto" w:sz="4" w:space="0"/>
              <w:right w:val="single" w:color="auto" w:sz="4" w:space="0"/>
            </w:tcBorders>
            <w:noWrap/>
            <w:vAlign w:val="center"/>
          </w:tcPr>
          <w:p w14:paraId="334A4C1E">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520,562.00</w:t>
            </w:r>
          </w:p>
        </w:tc>
        <w:tc>
          <w:tcPr>
            <w:tcW w:w="1120" w:type="dxa"/>
            <w:tcBorders>
              <w:top w:val="single" w:color="auto" w:sz="4" w:space="0"/>
              <w:left w:val="single" w:color="auto" w:sz="4" w:space="0"/>
              <w:bottom w:val="single" w:color="auto" w:sz="4" w:space="0"/>
              <w:right w:val="single" w:color="auto" w:sz="4" w:space="0"/>
            </w:tcBorders>
            <w:noWrap/>
            <w:vAlign w:val="center"/>
          </w:tcPr>
          <w:p w14:paraId="4456F0EB">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27,398</w:t>
            </w:r>
          </w:p>
        </w:tc>
        <w:tc>
          <w:tcPr>
            <w:tcW w:w="1001" w:type="dxa"/>
            <w:tcBorders>
              <w:top w:val="single" w:color="auto" w:sz="4" w:space="0"/>
              <w:left w:val="single" w:color="auto" w:sz="4" w:space="0"/>
              <w:bottom w:val="single" w:color="auto" w:sz="4" w:space="0"/>
              <w:right w:val="single" w:color="auto" w:sz="4" w:space="0"/>
            </w:tcBorders>
            <w:noWrap/>
            <w:vAlign w:val="center"/>
          </w:tcPr>
          <w:p w14:paraId="56652EED">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1134" w:type="dxa"/>
            <w:tcBorders>
              <w:top w:val="single" w:color="auto" w:sz="4" w:space="0"/>
              <w:left w:val="single" w:color="auto" w:sz="4" w:space="0"/>
              <w:bottom w:val="single" w:color="auto" w:sz="4" w:space="0"/>
              <w:right w:val="single" w:color="auto" w:sz="4" w:space="0"/>
            </w:tcBorders>
            <w:noWrap/>
            <w:vAlign w:val="center"/>
          </w:tcPr>
          <w:p w14:paraId="02C625D9">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70528" behindDoc="0" locked="0" layoutInCell="1" allowOverlap="1">
                  <wp:simplePos x="0" y="0"/>
                  <wp:positionH relativeFrom="column">
                    <wp:posOffset>-40005</wp:posOffset>
                  </wp:positionH>
                  <wp:positionV relativeFrom="paragraph">
                    <wp:posOffset>-43815</wp:posOffset>
                  </wp:positionV>
                  <wp:extent cx="691515" cy="1336675"/>
                  <wp:effectExtent l="0" t="0" r="0" b="0"/>
                  <wp:wrapNone/>
                  <wp:docPr id="19677531" name="Picture 19677531" descr="C:\Users\BNDA PLANNIMG\Desktop\IMG-2025013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531" name="Picture 19677531" descr="C:\Users\BNDA PLANNIMG\Desktop\IMG-20250130-WA0012.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691515" cy="1336675"/>
                          </a:xfrm>
                          <a:prstGeom prst="rect">
                            <a:avLst/>
                          </a:prstGeom>
                          <a:noFill/>
                          <a:ln>
                            <a:noFill/>
                          </a:ln>
                        </pic:spPr>
                      </pic:pic>
                    </a:graphicData>
                  </a:graphic>
                </wp:anchor>
              </w:drawing>
            </w:r>
          </w:p>
          <w:p w14:paraId="06A6B0F4">
            <w:pPr>
              <w:spacing w:after="0" w:line="276" w:lineRule="auto"/>
              <w:ind w:left="209" w:hanging="10"/>
              <w:jc w:val="both"/>
              <w:rPr>
                <w:rFonts w:ascii="Times New Roman" w:hAnsi="Times New Roman" w:eastAsia="Times New Roman" w:cs="Times New Roman"/>
                <w:sz w:val="16"/>
                <w:szCs w:val="16"/>
              </w:rPr>
            </w:pPr>
          </w:p>
        </w:tc>
        <w:tc>
          <w:tcPr>
            <w:tcW w:w="1117" w:type="dxa"/>
            <w:tcBorders>
              <w:top w:val="single" w:color="auto" w:sz="4" w:space="0"/>
              <w:left w:val="single" w:color="auto" w:sz="4" w:space="0"/>
              <w:bottom w:val="single" w:color="auto" w:sz="4" w:space="0"/>
              <w:right w:val="single" w:color="auto" w:sz="4" w:space="0"/>
            </w:tcBorders>
            <w:vAlign w:val="center"/>
          </w:tcPr>
          <w:p w14:paraId="43DF402F">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On-going</w:t>
            </w:r>
          </w:p>
        </w:tc>
      </w:tr>
      <w:tr w14:paraId="38C0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3FAB531C">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2AA03C14">
            <w:pPr>
              <w:numPr>
                <w:ilvl w:val="0"/>
                <w:numId w:val="8"/>
              </w:num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Completion of police qu</w:t>
            </w:r>
            <w:bookmarkStart w:id="142" w:name="_GoBack"/>
            <w:bookmarkEnd w:id="142"/>
            <w:r>
              <w:rPr>
                <w:rFonts w:ascii="Times New Roman" w:hAnsi="Times New Roman" w:eastAsia="Times New Roman" w:cs="Times New Roman"/>
                <w:sz w:val="16"/>
                <w:szCs w:val="16"/>
              </w:rPr>
              <w:t>arters</w:t>
            </w:r>
          </w:p>
        </w:tc>
        <w:tc>
          <w:tcPr>
            <w:tcW w:w="968" w:type="dxa"/>
            <w:tcBorders>
              <w:top w:val="single" w:color="auto" w:sz="4" w:space="0"/>
              <w:left w:val="single" w:color="auto" w:sz="4" w:space="0"/>
              <w:bottom w:val="single" w:color="auto" w:sz="4" w:space="0"/>
              <w:right w:val="single" w:color="auto" w:sz="4" w:space="0"/>
            </w:tcBorders>
            <w:vAlign w:val="center"/>
          </w:tcPr>
          <w:p w14:paraId="602D9C1D">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Governance, corruption and public accountability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50CADE00">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Akoase</w:t>
            </w:r>
          </w:p>
        </w:tc>
        <w:tc>
          <w:tcPr>
            <w:tcW w:w="1164" w:type="dxa"/>
            <w:tcBorders>
              <w:top w:val="single" w:color="auto" w:sz="4" w:space="0"/>
              <w:left w:val="single" w:color="auto" w:sz="4" w:space="0"/>
              <w:bottom w:val="single" w:color="auto" w:sz="4" w:space="0"/>
              <w:right w:val="single" w:color="auto" w:sz="4" w:space="0"/>
            </w:tcBorders>
            <w:vAlign w:val="center"/>
          </w:tcPr>
          <w:p w14:paraId="11B37B32">
            <w:pPr>
              <w:spacing w:after="0" w:line="276"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Pro.Work.M Venture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2D89F4CC">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179,668.00</w:t>
            </w:r>
          </w:p>
        </w:tc>
        <w:tc>
          <w:tcPr>
            <w:tcW w:w="980" w:type="dxa"/>
            <w:tcBorders>
              <w:top w:val="single" w:color="auto" w:sz="4" w:space="0"/>
              <w:left w:val="single" w:color="auto" w:sz="4" w:space="0"/>
              <w:bottom w:val="single" w:color="auto" w:sz="4" w:space="0"/>
              <w:right w:val="single" w:color="auto" w:sz="4" w:space="0"/>
            </w:tcBorders>
            <w:noWrap/>
            <w:vAlign w:val="center"/>
          </w:tcPr>
          <w:p w14:paraId="20810277">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1048463B">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02/11/21</w:t>
            </w:r>
          </w:p>
        </w:tc>
        <w:tc>
          <w:tcPr>
            <w:tcW w:w="980" w:type="dxa"/>
            <w:tcBorders>
              <w:top w:val="single" w:color="auto" w:sz="4" w:space="0"/>
              <w:left w:val="single" w:color="auto" w:sz="4" w:space="0"/>
              <w:bottom w:val="single" w:color="auto" w:sz="4" w:space="0"/>
              <w:right w:val="single" w:color="auto" w:sz="4" w:space="0"/>
            </w:tcBorders>
            <w:noWrap/>
            <w:vAlign w:val="center"/>
          </w:tcPr>
          <w:p w14:paraId="3FBB0559">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21/12/21</w:t>
            </w:r>
          </w:p>
        </w:tc>
        <w:tc>
          <w:tcPr>
            <w:tcW w:w="1043" w:type="dxa"/>
            <w:tcBorders>
              <w:top w:val="single" w:color="auto" w:sz="4" w:space="0"/>
              <w:left w:val="single" w:color="auto" w:sz="4" w:space="0"/>
              <w:bottom w:val="single" w:color="auto" w:sz="4" w:space="0"/>
              <w:right w:val="single" w:color="auto" w:sz="4" w:space="0"/>
            </w:tcBorders>
            <w:noWrap/>
            <w:vAlign w:val="center"/>
          </w:tcPr>
          <w:p w14:paraId="04C8FEDA">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03/02/22</w:t>
            </w:r>
          </w:p>
        </w:tc>
        <w:tc>
          <w:tcPr>
            <w:tcW w:w="1217" w:type="dxa"/>
            <w:tcBorders>
              <w:top w:val="single" w:color="auto" w:sz="4" w:space="0"/>
              <w:left w:val="single" w:color="auto" w:sz="4" w:space="0"/>
              <w:bottom w:val="single" w:color="auto" w:sz="4" w:space="0"/>
              <w:right w:val="single" w:color="auto" w:sz="4" w:space="0"/>
            </w:tcBorders>
            <w:noWrap/>
            <w:vAlign w:val="center"/>
          </w:tcPr>
          <w:p w14:paraId="2DE5AAAB">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64,223.10</w:t>
            </w:r>
          </w:p>
        </w:tc>
        <w:tc>
          <w:tcPr>
            <w:tcW w:w="1120" w:type="dxa"/>
            <w:tcBorders>
              <w:top w:val="single" w:color="auto" w:sz="4" w:space="0"/>
              <w:left w:val="single" w:color="auto" w:sz="4" w:space="0"/>
              <w:bottom w:val="single" w:color="auto" w:sz="4" w:space="0"/>
              <w:right w:val="single" w:color="auto" w:sz="4" w:space="0"/>
            </w:tcBorders>
            <w:noWrap/>
            <w:vAlign w:val="center"/>
          </w:tcPr>
          <w:p w14:paraId="5ED121CF">
            <w:pPr>
              <w:spacing w:after="0" w:line="276" w:lineRule="auto"/>
              <w:jc w:val="right"/>
              <w:rPr>
                <w:rFonts w:ascii="Times New Roman" w:hAnsi="Times New Roman" w:eastAsia="Times New Roman" w:cs="Times New Roman"/>
                <w:b/>
                <w:sz w:val="16"/>
                <w:szCs w:val="16"/>
              </w:rPr>
            </w:pPr>
            <w:r>
              <w:rPr>
                <w:rFonts w:ascii="Times New Roman" w:hAnsi="Times New Roman" w:eastAsia="Times New Roman" w:cs="Times New Roman"/>
                <w:sz w:val="16"/>
                <w:szCs w:val="16"/>
              </w:rPr>
              <w:t>15,444.90</w:t>
            </w:r>
          </w:p>
        </w:tc>
        <w:tc>
          <w:tcPr>
            <w:tcW w:w="1001" w:type="dxa"/>
            <w:tcBorders>
              <w:top w:val="single" w:color="auto" w:sz="4" w:space="0"/>
              <w:left w:val="single" w:color="auto" w:sz="4" w:space="0"/>
              <w:bottom w:val="single" w:color="auto" w:sz="4" w:space="0"/>
              <w:right w:val="single" w:color="auto" w:sz="4" w:space="0"/>
            </w:tcBorders>
            <w:noWrap/>
            <w:vAlign w:val="center"/>
          </w:tcPr>
          <w:p w14:paraId="180AEB2D">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75%</w:t>
            </w:r>
          </w:p>
        </w:tc>
        <w:tc>
          <w:tcPr>
            <w:tcW w:w="1134" w:type="dxa"/>
            <w:tcBorders>
              <w:top w:val="single" w:color="auto" w:sz="4" w:space="0"/>
              <w:left w:val="single" w:color="auto" w:sz="4" w:space="0"/>
              <w:bottom w:val="single" w:color="auto" w:sz="4" w:space="0"/>
              <w:right w:val="single" w:color="auto" w:sz="4" w:space="0"/>
            </w:tcBorders>
            <w:noWrap/>
            <w:vAlign w:val="center"/>
          </w:tcPr>
          <w:p w14:paraId="75ECE32E">
            <w:pPr>
              <w:spacing w:after="0" w:line="276" w:lineRule="auto"/>
              <w:ind w:left="209" w:hanging="1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drawing>
                <wp:anchor distT="0" distB="0" distL="114300" distR="114300" simplePos="0" relativeHeight="251671552" behindDoc="0" locked="0" layoutInCell="1" allowOverlap="1">
                  <wp:simplePos x="0" y="0"/>
                  <wp:positionH relativeFrom="column">
                    <wp:posOffset>-57150</wp:posOffset>
                  </wp:positionH>
                  <wp:positionV relativeFrom="paragraph">
                    <wp:posOffset>-19050</wp:posOffset>
                  </wp:positionV>
                  <wp:extent cx="723900" cy="708025"/>
                  <wp:effectExtent l="0" t="0" r="0" b="0"/>
                  <wp:wrapNone/>
                  <wp:docPr id="648140189" name="Picture 648140189" descr="C:\Users\D\OneDrive\Pictures\New folder\IMG-2025101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0189" name="Picture 648140189" descr="C:\Users\D\OneDrive\Pictures\New folder\IMG-20251013-WA0024.jpg"/>
                          <pic:cNvPicPr>
                            <a:picLocks noChangeAspect="1" noChangeArrowheads="1"/>
                          </pic:cNvPicPr>
                        </pic:nvPicPr>
                        <pic:blipFill>
                          <a:blip r:embed="rId120" cstate="print">
                            <a:extLst>
                              <a:ext uri="{28A0092B-C50C-407E-A947-70E740481C1C}">
                                <a14:useLocalDpi xmlns:a14="http://schemas.microsoft.com/office/drawing/2010/main" val="0"/>
                              </a:ext>
                            </a:extLst>
                          </a:blip>
                          <a:srcRect l="14560" b="37651"/>
                          <a:stretch>
                            <a:fillRect/>
                          </a:stretch>
                        </pic:blipFill>
                        <pic:spPr>
                          <a:xfrm>
                            <a:off x="0" y="0"/>
                            <a:ext cx="723900" cy="708025"/>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1BD440A4">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 xml:space="preserve">On-going </w:t>
            </w:r>
          </w:p>
        </w:tc>
      </w:tr>
      <w:tr w14:paraId="40C4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6207" w:type="dxa"/>
            <w:gridSpan w:val="17"/>
            <w:tcBorders>
              <w:top w:val="single" w:color="auto" w:sz="4" w:space="0"/>
              <w:left w:val="single" w:color="auto" w:sz="4" w:space="0"/>
              <w:bottom w:val="single" w:color="auto" w:sz="4" w:space="0"/>
              <w:right w:val="single" w:color="auto" w:sz="4" w:space="0"/>
            </w:tcBorders>
            <w:noWrap/>
            <w:vAlign w:val="center"/>
          </w:tcPr>
          <w:p w14:paraId="50E6C945">
            <w:pPr>
              <w:spacing w:after="0" w:line="276" w:lineRule="auto"/>
              <w:ind w:left="209" w:hanging="10"/>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NEW PROJECT</w:t>
            </w:r>
          </w:p>
        </w:tc>
      </w:tr>
      <w:tr w14:paraId="695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99"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428894A0">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0CBA9A11">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3-unit classroom block</w:t>
            </w:r>
          </w:p>
        </w:tc>
        <w:tc>
          <w:tcPr>
            <w:tcW w:w="968" w:type="dxa"/>
            <w:tcBorders>
              <w:top w:val="single" w:color="auto" w:sz="4" w:space="0"/>
              <w:left w:val="single" w:color="auto" w:sz="4" w:space="0"/>
              <w:bottom w:val="single" w:color="auto" w:sz="4" w:space="0"/>
              <w:right w:val="single" w:color="auto" w:sz="4" w:space="0"/>
            </w:tcBorders>
            <w:vAlign w:val="center"/>
          </w:tcPr>
          <w:p w14:paraId="6DB52CC7">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5A83CDB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Okaikrom</w:t>
            </w:r>
          </w:p>
        </w:tc>
        <w:tc>
          <w:tcPr>
            <w:tcW w:w="1164" w:type="dxa"/>
            <w:tcBorders>
              <w:top w:val="single" w:color="auto" w:sz="4" w:space="0"/>
              <w:left w:val="single" w:color="auto" w:sz="4" w:space="0"/>
              <w:bottom w:val="single" w:color="auto" w:sz="4" w:space="0"/>
              <w:right w:val="single" w:color="auto" w:sz="4" w:space="0"/>
            </w:tcBorders>
            <w:vAlign w:val="center"/>
          </w:tcPr>
          <w:p w14:paraId="0D78F12E">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Ab-Sha Golden Ventures</w:t>
            </w:r>
          </w:p>
        </w:tc>
        <w:tc>
          <w:tcPr>
            <w:tcW w:w="1120" w:type="dxa"/>
            <w:tcBorders>
              <w:top w:val="single" w:color="auto" w:sz="4" w:space="0"/>
              <w:left w:val="single" w:color="auto" w:sz="4" w:space="0"/>
              <w:bottom w:val="single" w:color="auto" w:sz="4" w:space="0"/>
              <w:right w:val="single" w:color="auto" w:sz="4" w:space="0"/>
            </w:tcBorders>
            <w:noWrap/>
            <w:vAlign w:val="center"/>
          </w:tcPr>
          <w:p w14:paraId="73C92E8D">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691,070.10</w:t>
            </w:r>
          </w:p>
        </w:tc>
        <w:tc>
          <w:tcPr>
            <w:tcW w:w="980" w:type="dxa"/>
            <w:tcBorders>
              <w:top w:val="single" w:color="auto" w:sz="4" w:space="0"/>
              <w:left w:val="single" w:color="auto" w:sz="4" w:space="0"/>
              <w:bottom w:val="single" w:color="auto" w:sz="4" w:space="0"/>
              <w:right w:val="single" w:color="auto" w:sz="4" w:space="0"/>
            </w:tcBorders>
            <w:noWrap/>
            <w:vAlign w:val="center"/>
          </w:tcPr>
          <w:p w14:paraId="080BC3F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4668E3F8">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40FE7EC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7E518DE6">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7/03/26</w:t>
            </w:r>
          </w:p>
        </w:tc>
        <w:tc>
          <w:tcPr>
            <w:tcW w:w="1217" w:type="dxa"/>
            <w:tcBorders>
              <w:top w:val="single" w:color="auto" w:sz="4" w:space="0"/>
              <w:left w:val="single" w:color="auto" w:sz="4" w:space="0"/>
              <w:bottom w:val="single" w:color="auto" w:sz="4" w:space="0"/>
              <w:right w:val="single" w:color="auto" w:sz="4" w:space="0"/>
            </w:tcBorders>
            <w:noWrap/>
            <w:vAlign w:val="center"/>
          </w:tcPr>
          <w:p w14:paraId="19BD9DF4">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287,424.10</w:t>
            </w:r>
          </w:p>
        </w:tc>
        <w:tc>
          <w:tcPr>
            <w:tcW w:w="1120" w:type="dxa"/>
            <w:tcBorders>
              <w:top w:val="single" w:color="auto" w:sz="4" w:space="0"/>
              <w:left w:val="single" w:color="auto" w:sz="4" w:space="0"/>
              <w:bottom w:val="single" w:color="auto" w:sz="4" w:space="0"/>
              <w:right w:val="single" w:color="auto" w:sz="4" w:space="0"/>
            </w:tcBorders>
            <w:noWrap/>
            <w:vAlign w:val="center"/>
          </w:tcPr>
          <w:p w14:paraId="1A61549D">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403,646.10</w:t>
            </w:r>
          </w:p>
        </w:tc>
        <w:tc>
          <w:tcPr>
            <w:tcW w:w="1001" w:type="dxa"/>
            <w:tcBorders>
              <w:top w:val="single" w:color="auto" w:sz="4" w:space="0"/>
              <w:left w:val="single" w:color="auto" w:sz="4" w:space="0"/>
              <w:bottom w:val="single" w:color="auto" w:sz="4" w:space="0"/>
              <w:right w:val="single" w:color="auto" w:sz="4" w:space="0"/>
            </w:tcBorders>
            <w:noWrap/>
            <w:vAlign w:val="center"/>
          </w:tcPr>
          <w:p w14:paraId="22F7BCA4">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1134" w:type="dxa"/>
            <w:tcBorders>
              <w:top w:val="single" w:color="auto" w:sz="4" w:space="0"/>
              <w:left w:val="single" w:color="auto" w:sz="4" w:space="0"/>
              <w:bottom w:val="single" w:color="auto" w:sz="4" w:space="0"/>
              <w:right w:val="single" w:color="auto" w:sz="4" w:space="0"/>
            </w:tcBorders>
            <w:noWrap/>
            <w:vAlign w:val="center"/>
          </w:tcPr>
          <w:p w14:paraId="150C9C7F">
            <w:pPr>
              <w:spacing w:after="0" w:line="276" w:lineRule="auto"/>
              <w:jc w:val="both"/>
              <w:rPr>
                <w:rFonts w:ascii="Times New Roman" w:hAnsi="Times New Roman" w:eastAsia="Times New Roman" w:cs="Times New Roman"/>
                <w:sz w:val="16"/>
                <w:szCs w:val="16"/>
              </w:rPr>
            </w:pPr>
            <w:r>
              <w:drawing>
                <wp:inline distT="0" distB="0" distL="0" distR="0">
                  <wp:extent cx="634365" cy="515620"/>
                  <wp:effectExtent l="0" t="0" r="0" b="0"/>
                  <wp:docPr id="915901449" name="Picture 915901449" descr="D:\PROJECTS MONITORING\IMG_0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9" name="Picture 915901449" descr="D:\PROJECTS MONITORING\IMG_0994.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641025" cy="521033"/>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1FDC8177">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On-going</w:t>
            </w:r>
          </w:p>
        </w:tc>
      </w:tr>
      <w:tr w14:paraId="7FA7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0E68846D">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5AACFF9F">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1No 6-Unit Classroom Block, Offices, Stores and Library</w:t>
            </w:r>
          </w:p>
        </w:tc>
        <w:tc>
          <w:tcPr>
            <w:tcW w:w="968" w:type="dxa"/>
            <w:tcBorders>
              <w:top w:val="single" w:color="auto" w:sz="4" w:space="0"/>
              <w:left w:val="single" w:color="auto" w:sz="4" w:space="0"/>
              <w:bottom w:val="single" w:color="auto" w:sz="4" w:space="0"/>
              <w:right w:val="single" w:color="auto" w:sz="4" w:space="0"/>
            </w:tcBorders>
            <w:vAlign w:val="center"/>
          </w:tcPr>
          <w:p w14:paraId="39D74F2E">
            <w:pPr>
              <w:spacing w:after="0" w:line="276" w:lineRule="auto"/>
              <w:ind w:left="209" w:hanging="10"/>
              <w:jc w:val="both"/>
              <w:rPr>
                <w:rFonts w:ascii="Times New Roman" w:hAnsi="Times New Roman" w:eastAsia="Times New Roman" w:cs="Times New Roman"/>
                <w:sz w:val="16"/>
                <w:szCs w:val="16"/>
              </w:rPr>
            </w:pPr>
          </w:p>
          <w:p w14:paraId="1405581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Social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2C10ABD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Old Abirim</w:t>
            </w:r>
          </w:p>
        </w:tc>
        <w:tc>
          <w:tcPr>
            <w:tcW w:w="1164" w:type="dxa"/>
            <w:tcBorders>
              <w:top w:val="single" w:color="auto" w:sz="4" w:space="0"/>
              <w:left w:val="single" w:color="auto" w:sz="4" w:space="0"/>
              <w:bottom w:val="single" w:color="auto" w:sz="4" w:space="0"/>
              <w:right w:val="single" w:color="auto" w:sz="4" w:space="0"/>
            </w:tcBorders>
            <w:vAlign w:val="center"/>
          </w:tcPr>
          <w:p w14:paraId="169E2AC2">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Mso Engineering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4CDB166A">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1,273,348.23</w:t>
            </w:r>
          </w:p>
        </w:tc>
        <w:tc>
          <w:tcPr>
            <w:tcW w:w="980" w:type="dxa"/>
            <w:tcBorders>
              <w:top w:val="single" w:color="auto" w:sz="4" w:space="0"/>
              <w:left w:val="single" w:color="auto" w:sz="4" w:space="0"/>
              <w:bottom w:val="single" w:color="auto" w:sz="4" w:space="0"/>
              <w:right w:val="single" w:color="auto" w:sz="4" w:space="0"/>
            </w:tcBorders>
            <w:noWrap/>
            <w:vAlign w:val="center"/>
          </w:tcPr>
          <w:p w14:paraId="0BF7B45B">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38CEC45A">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6F4F7A7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571B571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7/05/26</w:t>
            </w:r>
          </w:p>
        </w:tc>
        <w:tc>
          <w:tcPr>
            <w:tcW w:w="1217" w:type="dxa"/>
            <w:tcBorders>
              <w:top w:val="single" w:color="auto" w:sz="4" w:space="0"/>
              <w:left w:val="single" w:color="auto" w:sz="4" w:space="0"/>
              <w:bottom w:val="single" w:color="auto" w:sz="4" w:space="0"/>
              <w:right w:val="single" w:color="auto" w:sz="4" w:space="0"/>
            </w:tcBorders>
            <w:noWrap/>
            <w:vAlign w:val="center"/>
          </w:tcPr>
          <w:p w14:paraId="4EE9F2D6">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625,624.59</w:t>
            </w:r>
          </w:p>
        </w:tc>
        <w:tc>
          <w:tcPr>
            <w:tcW w:w="1120" w:type="dxa"/>
            <w:tcBorders>
              <w:top w:val="single" w:color="auto" w:sz="4" w:space="0"/>
              <w:left w:val="single" w:color="auto" w:sz="4" w:space="0"/>
              <w:bottom w:val="single" w:color="auto" w:sz="4" w:space="0"/>
              <w:right w:val="single" w:color="auto" w:sz="4" w:space="0"/>
            </w:tcBorders>
            <w:noWrap/>
            <w:vAlign w:val="center"/>
          </w:tcPr>
          <w:p w14:paraId="0015ECE3">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647,723.34</w:t>
            </w:r>
          </w:p>
        </w:tc>
        <w:tc>
          <w:tcPr>
            <w:tcW w:w="1001" w:type="dxa"/>
            <w:tcBorders>
              <w:top w:val="single" w:color="auto" w:sz="4" w:space="0"/>
              <w:left w:val="single" w:color="auto" w:sz="4" w:space="0"/>
              <w:bottom w:val="single" w:color="auto" w:sz="4" w:space="0"/>
              <w:right w:val="single" w:color="auto" w:sz="4" w:space="0"/>
            </w:tcBorders>
            <w:noWrap/>
            <w:vAlign w:val="center"/>
          </w:tcPr>
          <w:p w14:paraId="642D7E94">
            <w:pPr>
              <w:spacing w:after="0" w:line="276"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65%</w:t>
            </w:r>
          </w:p>
        </w:tc>
        <w:tc>
          <w:tcPr>
            <w:tcW w:w="1134" w:type="dxa"/>
            <w:tcBorders>
              <w:top w:val="single" w:color="auto" w:sz="4" w:space="0"/>
              <w:left w:val="single" w:color="auto" w:sz="4" w:space="0"/>
              <w:bottom w:val="single" w:color="auto" w:sz="4" w:space="0"/>
              <w:right w:val="single" w:color="auto" w:sz="4" w:space="0"/>
            </w:tcBorders>
            <w:noWrap/>
            <w:vAlign w:val="center"/>
          </w:tcPr>
          <w:p w14:paraId="405DE3DC">
            <w:pPr>
              <w:spacing w:after="0" w:line="276" w:lineRule="auto"/>
              <w:jc w:val="both"/>
              <w:rPr>
                <w:rFonts w:ascii="Times New Roman" w:hAnsi="Times New Roman" w:eastAsia="Times New Roman" w:cs="Times New Roman"/>
                <w:sz w:val="16"/>
                <w:szCs w:val="16"/>
              </w:rPr>
            </w:pPr>
            <w:r>
              <w:drawing>
                <wp:inline distT="0" distB="0" distL="0" distR="0">
                  <wp:extent cx="704850" cy="654050"/>
                  <wp:effectExtent l="0" t="0" r="0" b="0"/>
                  <wp:docPr id="915901446" name="Picture 915901446" descr="D:\PROJECTS MONITORING\IMG_0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6" name="Picture 915901446" descr="D:\PROJECTS MONITORING\IMG_0986.JPG"/>
                          <pic:cNvPicPr>
                            <a:picLocks noChangeAspect="1" noChangeArrowheads="1"/>
                          </pic:cNvPicPr>
                        </pic:nvPicPr>
                        <pic:blipFill>
                          <a:blip r:embed="rId122" cstate="print">
                            <a:extLst>
                              <a:ext uri="{28A0092B-C50C-407E-A947-70E740481C1C}">
                                <a14:useLocalDpi xmlns:a14="http://schemas.microsoft.com/office/drawing/2010/main" val="0"/>
                              </a:ext>
                            </a:extLst>
                          </a:blip>
                          <a:srcRect t="19444" b="13888"/>
                          <a:stretch>
                            <a:fillRect/>
                          </a:stretch>
                        </pic:blipFill>
                        <pic:spPr>
                          <a:xfrm>
                            <a:off x="0" y="0"/>
                            <a:ext cx="713652" cy="662218"/>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6CFB4C35">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On-going</w:t>
            </w:r>
          </w:p>
        </w:tc>
      </w:tr>
      <w:tr w14:paraId="4510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54FCABF3">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7C5D68CF">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2-unit classroom block</w:t>
            </w:r>
          </w:p>
        </w:tc>
        <w:tc>
          <w:tcPr>
            <w:tcW w:w="968" w:type="dxa"/>
            <w:tcBorders>
              <w:top w:val="single" w:color="auto" w:sz="4" w:space="0"/>
              <w:left w:val="single" w:color="auto" w:sz="4" w:space="0"/>
              <w:bottom w:val="single" w:color="auto" w:sz="4" w:space="0"/>
              <w:right w:val="single" w:color="auto" w:sz="4" w:space="0"/>
            </w:tcBorders>
            <w:vAlign w:val="center"/>
          </w:tcPr>
          <w:p w14:paraId="268ABDBE">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339DF545">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Kyenkyenku</w:t>
            </w:r>
          </w:p>
        </w:tc>
        <w:tc>
          <w:tcPr>
            <w:tcW w:w="1164" w:type="dxa"/>
            <w:tcBorders>
              <w:top w:val="single" w:color="auto" w:sz="4" w:space="0"/>
              <w:left w:val="single" w:color="auto" w:sz="4" w:space="0"/>
              <w:bottom w:val="single" w:color="auto" w:sz="4" w:space="0"/>
              <w:right w:val="single" w:color="auto" w:sz="4" w:space="0"/>
            </w:tcBorders>
            <w:vAlign w:val="center"/>
          </w:tcPr>
          <w:p w14:paraId="4DD72A56">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Integra Engineering And Const. Gh.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52801004">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549,743.23</w:t>
            </w:r>
          </w:p>
        </w:tc>
        <w:tc>
          <w:tcPr>
            <w:tcW w:w="980" w:type="dxa"/>
            <w:tcBorders>
              <w:top w:val="single" w:color="auto" w:sz="4" w:space="0"/>
              <w:left w:val="single" w:color="auto" w:sz="4" w:space="0"/>
              <w:bottom w:val="single" w:color="auto" w:sz="4" w:space="0"/>
              <w:right w:val="single" w:color="auto" w:sz="4" w:space="0"/>
            </w:tcBorders>
            <w:noWrap/>
            <w:vAlign w:val="center"/>
          </w:tcPr>
          <w:p w14:paraId="15F33D1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2F7AD0A7">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15A36CD7">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3993233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7/03/26</w:t>
            </w:r>
          </w:p>
        </w:tc>
        <w:tc>
          <w:tcPr>
            <w:tcW w:w="1217" w:type="dxa"/>
            <w:tcBorders>
              <w:top w:val="single" w:color="auto" w:sz="4" w:space="0"/>
              <w:left w:val="single" w:color="auto" w:sz="4" w:space="0"/>
              <w:bottom w:val="single" w:color="auto" w:sz="4" w:space="0"/>
              <w:right w:val="single" w:color="auto" w:sz="4" w:space="0"/>
            </w:tcBorders>
            <w:noWrap/>
            <w:vAlign w:val="center"/>
          </w:tcPr>
          <w:p w14:paraId="5CBB984D">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395,571.60</w:t>
            </w:r>
          </w:p>
        </w:tc>
        <w:tc>
          <w:tcPr>
            <w:tcW w:w="1120" w:type="dxa"/>
            <w:tcBorders>
              <w:top w:val="single" w:color="auto" w:sz="4" w:space="0"/>
              <w:left w:val="single" w:color="auto" w:sz="4" w:space="0"/>
              <w:bottom w:val="single" w:color="auto" w:sz="4" w:space="0"/>
              <w:right w:val="single" w:color="auto" w:sz="4" w:space="0"/>
            </w:tcBorders>
            <w:noWrap/>
            <w:vAlign w:val="center"/>
          </w:tcPr>
          <w:p w14:paraId="23CEA435">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154,171.63</w:t>
            </w:r>
          </w:p>
        </w:tc>
        <w:tc>
          <w:tcPr>
            <w:tcW w:w="1001" w:type="dxa"/>
            <w:tcBorders>
              <w:top w:val="single" w:color="auto" w:sz="4" w:space="0"/>
              <w:left w:val="single" w:color="auto" w:sz="4" w:space="0"/>
              <w:bottom w:val="single" w:color="auto" w:sz="4" w:space="0"/>
              <w:right w:val="single" w:color="auto" w:sz="4" w:space="0"/>
            </w:tcBorders>
            <w:noWrap/>
            <w:vAlign w:val="center"/>
          </w:tcPr>
          <w:p w14:paraId="497E3DC0">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1134" w:type="dxa"/>
            <w:tcBorders>
              <w:top w:val="single" w:color="auto" w:sz="4" w:space="0"/>
              <w:left w:val="single" w:color="auto" w:sz="4" w:space="0"/>
              <w:bottom w:val="single" w:color="auto" w:sz="4" w:space="0"/>
              <w:right w:val="single" w:color="auto" w:sz="4" w:space="0"/>
            </w:tcBorders>
            <w:noWrap/>
            <w:vAlign w:val="center"/>
          </w:tcPr>
          <w:p w14:paraId="0B13C6F2">
            <w:pPr>
              <w:spacing w:after="0" w:line="276" w:lineRule="auto"/>
              <w:jc w:val="both"/>
              <w:rPr>
                <w:rFonts w:ascii="Times New Roman" w:hAnsi="Times New Roman" w:eastAsia="Times New Roman" w:cs="Times New Roman"/>
                <w:sz w:val="16"/>
                <w:szCs w:val="16"/>
              </w:rPr>
            </w:pPr>
            <w:r>
              <w:drawing>
                <wp:inline distT="0" distB="0" distL="0" distR="0">
                  <wp:extent cx="698500" cy="474980"/>
                  <wp:effectExtent l="0" t="0" r="6350" b="1270"/>
                  <wp:docPr id="5" name="Picture 5" descr="D:\PROJECTS MONITORING\IMG_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PROJECTS MONITORING\IMG_0937.JPG"/>
                          <pic:cNvPicPr>
                            <a:picLocks noChangeAspect="1" noChangeArrowheads="1"/>
                          </pic:cNvPicPr>
                        </pic:nvPicPr>
                        <pic:blipFill>
                          <a:blip r:embed="rId123" cstate="print">
                            <a:extLst>
                              <a:ext uri="{28A0092B-C50C-407E-A947-70E740481C1C}">
                                <a14:useLocalDpi xmlns:a14="http://schemas.microsoft.com/office/drawing/2010/main" val="0"/>
                              </a:ext>
                            </a:extLst>
                          </a:blip>
                          <a:srcRect t="25751" b="25608"/>
                          <a:stretch>
                            <a:fillRect/>
                          </a:stretch>
                        </pic:blipFill>
                        <pic:spPr>
                          <a:xfrm>
                            <a:off x="0" y="0"/>
                            <a:ext cx="713819" cy="485877"/>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10C3DD60">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b/>
                <w:sz w:val="16"/>
                <w:szCs w:val="16"/>
              </w:rPr>
              <w:t xml:space="preserve">On-going </w:t>
            </w:r>
          </w:p>
        </w:tc>
      </w:tr>
      <w:tr w14:paraId="52BD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222C3A17">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15BD50DC">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3-unit classroom block, Office, Store and Library</w:t>
            </w:r>
          </w:p>
        </w:tc>
        <w:tc>
          <w:tcPr>
            <w:tcW w:w="968" w:type="dxa"/>
            <w:tcBorders>
              <w:top w:val="single" w:color="auto" w:sz="4" w:space="0"/>
              <w:left w:val="single" w:color="auto" w:sz="4" w:space="0"/>
              <w:bottom w:val="single" w:color="auto" w:sz="4" w:space="0"/>
              <w:right w:val="single" w:color="auto" w:sz="4" w:space="0"/>
            </w:tcBorders>
            <w:vAlign w:val="center"/>
          </w:tcPr>
          <w:p w14:paraId="1AD3CCDC">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4A66CB98">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Akoase Haya Islamic</w:t>
            </w:r>
          </w:p>
        </w:tc>
        <w:tc>
          <w:tcPr>
            <w:tcW w:w="1164" w:type="dxa"/>
            <w:tcBorders>
              <w:top w:val="single" w:color="auto" w:sz="4" w:space="0"/>
              <w:left w:val="single" w:color="auto" w:sz="4" w:space="0"/>
              <w:bottom w:val="single" w:color="auto" w:sz="4" w:space="0"/>
              <w:right w:val="single" w:color="auto" w:sz="4" w:space="0"/>
            </w:tcBorders>
            <w:vAlign w:val="center"/>
          </w:tcPr>
          <w:p w14:paraId="649D5E7B">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Picanso Solution</w:t>
            </w:r>
          </w:p>
        </w:tc>
        <w:tc>
          <w:tcPr>
            <w:tcW w:w="1120" w:type="dxa"/>
            <w:tcBorders>
              <w:top w:val="single" w:color="auto" w:sz="4" w:space="0"/>
              <w:left w:val="single" w:color="auto" w:sz="4" w:space="0"/>
              <w:bottom w:val="single" w:color="auto" w:sz="4" w:space="0"/>
              <w:right w:val="single" w:color="auto" w:sz="4" w:space="0"/>
            </w:tcBorders>
            <w:noWrap/>
            <w:vAlign w:val="center"/>
          </w:tcPr>
          <w:p w14:paraId="043E93D7">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820,433.88</w:t>
            </w:r>
          </w:p>
        </w:tc>
        <w:tc>
          <w:tcPr>
            <w:tcW w:w="980" w:type="dxa"/>
            <w:tcBorders>
              <w:top w:val="single" w:color="auto" w:sz="4" w:space="0"/>
              <w:left w:val="single" w:color="auto" w:sz="4" w:space="0"/>
              <w:bottom w:val="single" w:color="auto" w:sz="4" w:space="0"/>
              <w:right w:val="single" w:color="auto" w:sz="4" w:space="0"/>
            </w:tcBorders>
            <w:noWrap/>
            <w:vAlign w:val="center"/>
          </w:tcPr>
          <w:p w14:paraId="6FBA5BF2">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5B663FA2">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7CA4194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3E6A49BA">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7/03/26</w:t>
            </w:r>
          </w:p>
        </w:tc>
        <w:tc>
          <w:tcPr>
            <w:tcW w:w="1217" w:type="dxa"/>
            <w:tcBorders>
              <w:top w:val="single" w:color="auto" w:sz="4" w:space="0"/>
              <w:left w:val="single" w:color="auto" w:sz="4" w:space="0"/>
              <w:bottom w:val="single" w:color="auto" w:sz="4" w:space="0"/>
              <w:right w:val="single" w:color="auto" w:sz="4" w:space="0"/>
            </w:tcBorders>
            <w:noWrap/>
            <w:vAlign w:val="center"/>
          </w:tcPr>
          <w:p w14:paraId="0E9B4083">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390,743.46</w:t>
            </w:r>
          </w:p>
        </w:tc>
        <w:tc>
          <w:tcPr>
            <w:tcW w:w="1120" w:type="dxa"/>
            <w:tcBorders>
              <w:top w:val="single" w:color="auto" w:sz="4" w:space="0"/>
              <w:left w:val="single" w:color="auto" w:sz="4" w:space="0"/>
              <w:bottom w:val="single" w:color="auto" w:sz="4" w:space="0"/>
              <w:right w:val="single" w:color="auto" w:sz="4" w:space="0"/>
            </w:tcBorders>
            <w:noWrap/>
            <w:vAlign w:val="center"/>
          </w:tcPr>
          <w:p w14:paraId="75069031">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429,690.42</w:t>
            </w:r>
          </w:p>
        </w:tc>
        <w:tc>
          <w:tcPr>
            <w:tcW w:w="1001" w:type="dxa"/>
            <w:tcBorders>
              <w:top w:val="single" w:color="auto" w:sz="4" w:space="0"/>
              <w:left w:val="single" w:color="auto" w:sz="4" w:space="0"/>
              <w:bottom w:val="single" w:color="auto" w:sz="4" w:space="0"/>
              <w:right w:val="single" w:color="auto" w:sz="4" w:space="0"/>
            </w:tcBorders>
            <w:noWrap/>
            <w:vAlign w:val="center"/>
          </w:tcPr>
          <w:p w14:paraId="17D6A742">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65%</w:t>
            </w:r>
          </w:p>
        </w:tc>
        <w:tc>
          <w:tcPr>
            <w:tcW w:w="1134" w:type="dxa"/>
            <w:tcBorders>
              <w:top w:val="single" w:color="auto" w:sz="4" w:space="0"/>
              <w:left w:val="single" w:color="auto" w:sz="4" w:space="0"/>
              <w:bottom w:val="single" w:color="auto" w:sz="4" w:space="0"/>
              <w:right w:val="single" w:color="auto" w:sz="4" w:space="0"/>
            </w:tcBorders>
            <w:noWrap/>
            <w:vAlign w:val="center"/>
          </w:tcPr>
          <w:p w14:paraId="20DB4168">
            <w:pPr>
              <w:spacing w:after="0" w:line="276" w:lineRule="auto"/>
              <w:jc w:val="both"/>
              <w:rPr>
                <w:rFonts w:ascii="Times New Roman" w:hAnsi="Times New Roman" w:eastAsia="Times New Roman" w:cs="Times New Roman"/>
                <w:sz w:val="16"/>
                <w:szCs w:val="16"/>
              </w:rPr>
            </w:pPr>
            <w:r>
              <w:drawing>
                <wp:inline distT="0" distB="0" distL="0" distR="0">
                  <wp:extent cx="641350" cy="495300"/>
                  <wp:effectExtent l="0" t="0" r="6350" b="0"/>
                  <wp:docPr id="7" name="Picture 7" descr="D:\PROJECTS MONITORING\IMG_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PROJECTS MONITORING\IMG_0948.JPG"/>
                          <pic:cNvPicPr>
                            <a:picLocks noChangeAspect="1" noChangeArrowheads="1"/>
                          </pic:cNvPicPr>
                        </pic:nvPicPr>
                        <pic:blipFill>
                          <a:blip r:embed="rId124" cstate="print">
                            <a:extLst>
                              <a:ext uri="{28A0092B-C50C-407E-A947-70E740481C1C}">
                                <a14:useLocalDpi xmlns:a14="http://schemas.microsoft.com/office/drawing/2010/main" val="0"/>
                              </a:ext>
                            </a:extLst>
                          </a:blip>
                          <a:srcRect b="28177"/>
                          <a:stretch>
                            <a:fillRect/>
                          </a:stretch>
                        </pic:blipFill>
                        <pic:spPr>
                          <a:xfrm>
                            <a:off x="0" y="0"/>
                            <a:ext cx="643207" cy="496734"/>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1668EFA0">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b/>
                <w:sz w:val="16"/>
                <w:szCs w:val="16"/>
              </w:rPr>
              <w:t xml:space="preserve">On-going </w:t>
            </w:r>
          </w:p>
        </w:tc>
      </w:tr>
      <w:tr w14:paraId="3B6E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4DCFC507">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36C6743C">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 No CHPS Compound</w:t>
            </w:r>
          </w:p>
        </w:tc>
        <w:tc>
          <w:tcPr>
            <w:tcW w:w="968" w:type="dxa"/>
            <w:tcBorders>
              <w:top w:val="single" w:color="auto" w:sz="4" w:space="0"/>
              <w:left w:val="single" w:color="auto" w:sz="4" w:space="0"/>
              <w:bottom w:val="single" w:color="auto" w:sz="4" w:space="0"/>
              <w:right w:val="single" w:color="auto" w:sz="4" w:space="0"/>
            </w:tcBorders>
            <w:vAlign w:val="center"/>
          </w:tcPr>
          <w:p w14:paraId="766601B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425C4369">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Nwinso</w:t>
            </w:r>
          </w:p>
        </w:tc>
        <w:tc>
          <w:tcPr>
            <w:tcW w:w="1164" w:type="dxa"/>
            <w:tcBorders>
              <w:top w:val="single" w:color="auto" w:sz="4" w:space="0"/>
              <w:left w:val="single" w:color="auto" w:sz="4" w:space="0"/>
              <w:bottom w:val="single" w:color="auto" w:sz="4" w:space="0"/>
              <w:right w:val="single" w:color="auto" w:sz="4" w:space="0"/>
            </w:tcBorders>
            <w:vAlign w:val="center"/>
          </w:tcPr>
          <w:p w14:paraId="6892F812">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Simeslink Company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6943BE14">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1,232,407.45</w:t>
            </w:r>
          </w:p>
        </w:tc>
        <w:tc>
          <w:tcPr>
            <w:tcW w:w="980" w:type="dxa"/>
            <w:tcBorders>
              <w:top w:val="single" w:color="auto" w:sz="4" w:space="0"/>
              <w:left w:val="single" w:color="auto" w:sz="4" w:space="0"/>
              <w:bottom w:val="single" w:color="auto" w:sz="4" w:space="0"/>
              <w:right w:val="single" w:color="auto" w:sz="4" w:space="0"/>
            </w:tcBorders>
            <w:noWrap/>
            <w:vAlign w:val="center"/>
          </w:tcPr>
          <w:p w14:paraId="66DFE28D">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36031A88">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301DAF0B">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7DD1187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7/05/26</w:t>
            </w:r>
          </w:p>
        </w:tc>
        <w:tc>
          <w:tcPr>
            <w:tcW w:w="1217" w:type="dxa"/>
            <w:tcBorders>
              <w:top w:val="single" w:color="auto" w:sz="4" w:space="0"/>
              <w:left w:val="single" w:color="auto" w:sz="4" w:space="0"/>
              <w:bottom w:val="single" w:color="auto" w:sz="4" w:space="0"/>
              <w:right w:val="single" w:color="auto" w:sz="4" w:space="0"/>
            </w:tcBorders>
            <w:noWrap/>
            <w:vAlign w:val="center"/>
          </w:tcPr>
          <w:p w14:paraId="59A403B7">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426,139.04</w:t>
            </w:r>
          </w:p>
        </w:tc>
        <w:tc>
          <w:tcPr>
            <w:tcW w:w="1120" w:type="dxa"/>
            <w:tcBorders>
              <w:top w:val="single" w:color="auto" w:sz="4" w:space="0"/>
              <w:left w:val="single" w:color="auto" w:sz="4" w:space="0"/>
              <w:bottom w:val="single" w:color="auto" w:sz="4" w:space="0"/>
              <w:right w:val="single" w:color="auto" w:sz="4" w:space="0"/>
            </w:tcBorders>
            <w:noWrap/>
            <w:vAlign w:val="center"/>
          </w:tcPr>
          <w:p w14:paraId="042F5AC7">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806,268.41</w:t>
            </w:r>
          </w:p>
        </w:tc>
        <w:tc>
          <w:tcPr>
            <w:tcW w:w="1001" w:type="dxa"/>
            <w:tcBorders>
              <w:top w:val="single" w:color="auto" w:sz="4" w:space="0"/>
              <w:left w:val="single" w:color="auto" w:sz="4" w:space="0"/>
              <w:bottom w:val="single" w:color="auto" w:sz="4" w:space="0"/>
              <w:right w:val="single" w:color="auto" w:sz="4" w:space="0"/>
            </w:tcBorders>
            <w:noWrap/>
            <w:vAlign w:val="center"/>
          </w:tcPr>
          <w:p w14:paraId="27BA28DC">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65%</w:t>
            </w:r>
          </w:p>
        </w:tc>
        <w:tc>
          <w:tcPr>
            <w:tcW w:w="1134" w:type="dxa"/>
            <w:tcBorders>
              <w:top w:val="single" w:color="auto" w:sz="4" w:space="0"/>
              <w:left w:val="single" w:color="auto" w:sz="4" w:space="0"/>
              <w:bottom w:val="single" w:color="auto" w:sz="4" w:space="0"/>
              <w:right w:val="single" w:color="auto" w:sz="4" w:space="0"/>
            </w:tcBorders>
            <w:noWrap/>
            <w:vAlign w:val="center"/>
          </w:tcPr>
          <w:p w14:paraId="2BBE4BFA">
            <w:pPr>
              <w:spacing w:after="0" w:line="276" w:lineRule="auto"/>
              <w:jc w:val="both"/>
              <w:rPr>
                <w:rFonts w:ascii="Times New Roman" w:hAnsi="Times New Roman" w:eastAsia="Times New Roman" w:cs="Times New Roman"/>
                <w:sz w:val="16"/>
                <w:szCs w:val="16"/>
              </w:rPr>
            </w:pPr>
            <w:r>
              <w:drawing>
                <wp:inline distT="0" distB="0" distL="0" distR="0">
                  <wp:extent cx="609600" cy="419100"/>
                  <wp:effectExtent l="0" t="0" r="0" b="0"/>
                  <wp:docPr id="35" name="Picture 35" descr="D:\PROJECTS MONITORING\IMG_0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PROJECTS MONITORING\IMG_0962.JPG"/>
                          <pic:cNvPicPr>
                            <a:picLocks noChangeAspect="1" noChangeArrowheads="1"/>
                          </pic:cNvPicPr>
                        </pic:nvPicPr>
                        <pic:blipFill>
                          <a:blip r:embed="rId125" cstate="print">
                            <a:extLst>
                              <a:ext uri="{28A0092B-C50C-407E-A947-70E740481C1C}">
                                <a14:useLocalDpi xmlns:a14="http://schemas.microsoft.com/office/drawing/2010/main" val="0"/>
                              </a:ext>
                            </a:extLst>
                          </a:blip>
                          <a:srcRect t="17787" b="16996"/>
                          <a:stretch>
                            <a:fillRect/>
                          </a:stretch>
                        </pic:blipFill>
                        <pic:spPr>
                          <a:xfrm>
                            <a:off x="0" y="0"/>
                            <a:ext cx="609730" cy="419189"/>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3E75774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b/>
                <w:sz w:val="16"/>
                <w:szCs w:val="16"/>
              </w:rPr>
              <w:t xml:space="preserve">On-going </w:t>
            </w:r>
          </w:p>
        </w:tc>
      </w:tr>
      <w:tr w14:paraId="6392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27E4AF1A">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0B1E4001">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Repair and Maintenance of 20No Boreholes</w:t>
            </w:r>
          </w:p>
        </w:tc>
        <w:tc>
          <w:tcPr>
            <w:tcW w:w="968" w:type="dxa"/>
            <w:tcBorders>
              <w:top w:val="single" w:color="auto" w:sz="4" w:space="0"/>
              <w:left w:val="single" w:color="auto" w:sz="4" w:space="0"/>
              <w:bottom w:val="single" w:color="auto" w:sz="4" w:space="0"/>
              <w:right w:val="single" w:color="auto" w:sz="4" w:space="0"/>
            </w:tcBorders>
            <w:vAlign w:val="center"/>
          </w:tcPr>
          <w:p w14:paraId="228A2BC0">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29BD1FDF">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Gambia, Praso-Kuma, Oseikrom, Amenam, Amoana Praso, Oworombra, Mamanso, Akwetey, Domeabra, Abenaso, Botwekrom, Kyenkyenku, Noyem, Hweakwea, Afosu, Nkwanteng</w:t>
            </w:r>
          </w:p>
        </w:tc>
        <w:tc>
          <w:tcPr>
            <w:tcW w:w="1164" w:type="dxa"/>
            <w:tcBorders>
              <w:top w:val="single" w:color="auto" w:sz="4" w:space="0"/>
              <w:left w:val="single" w:color="auto" w:sz="4" w:space="0"/>
              <w:bottom w:val="single" w:color="auto" w:sz="4" w:space="0"/>
              <w:right w:val="single" w:color="auto" w:sz="4" w:space="0"/>
            </w:tcBorders>
            <w:vAlign w:val="center"/>
          </w:tcPr>
          <w:p w14:paraId="577C6D8D">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Ikeboa Company</w:t>
            </w:r>
          </w:p>
        </w:tc>
        <w:tc>
          <w:tcPr>
            <w:tcW w:w="1120" w:type="dxa"/>
            <w:tcBorders>
              <w:top w:val="single" w:color="auto" w:sz="4" w:space="0"/>
              <w:left w:val="single" w:color="auto" w:sz="4" w:space="0"/>
              <w:bottom w:val="single" w:color="auto" w:sz="4" w:space="0"/>
              <w:right w:val="single" w:color="auto" w:sz="4" w:space="0"/>
            </w:tcBorders>
            <w:noWrap/>
            <w:vAlign w:val="center"/>
          </w:tcPr>
          <w:p w14:paraId="5B839542">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201,000.00</w:t>
            </w:r>
          </w:p>
        </w:tc>
        <w:tc>
          <w:tcPr>
            <w:tcW w:w="980" w:type="dxa"/>
            <w:tcBorders>
              <w:top w:val="single" w:color="auto" w:sz="4" w:space="0"/>
              <w:left w:val="single" w:color="auto" w:sz="4" w:space="0"/>
              <w:bottom w:val="single" w:color="auto" w:sz="4" w:space="0"/>
              <w:right w:val="single" w:color="auto" w:sz="4" w:space="0"/>
            </w:tcBorders>
            <w:noWrap/>
            <w:vAlign w:val="center"/>
          </w:tcPr>
          <w:p w14:paraId="6201F96A">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00CA3BB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6960A328">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3B6015AB">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7/02/26</w:t>
            </w:r>
          </w:p>
        </w:tc>
        <w:tc>
          <w:tcPr>
            <w:tcW w:w="1217" w:type="dxa"/>
            <w:tcBorders>
              <w:top w:val="single" w:color="auto" w:sz="4" w:space="0"/>
              <w:left w:val="single" w:color="auto" w:sz="4" w:space="0"/>
              <w:bottom w:val="single" w:color="auto" w:sz="4" w:space="0"/>
              <w:right w:val="single" w:color="auto" w:sz="4" w:space="0"/>
            </w:tcBorders>
            <w:noWrap/>
            <w:vAlign w:val="center"/>
          </w:tcPr>
          <w:p w14:paraId="702C01C8">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0.00</w:t>
            </w:r>
          </w:p>
        </w:tc>
        <w:tc>
          <w:tcPr>
            <w:tcW w:w="1120" w:type="dxa"/>
            <w:tcBorders>
              <w:top w:val="single" w:color="auto" w:sz="4" w:space="0"/>
              <w:left w:val="single" w:color="auto" w:sz="4" w:space="0"/>
              <w:bottom w:val="single" w:color="auto" w:sz="4" w:space="0"/>
              <w:right w:val="single" w:color="auto" w:sz="4" w:space="0"/>
            </w:tcBorders>
            <w:noWrap/>
            <w:vAlign w:val="center"/>
          </w:tcPr>
          <w:p w14:paraId="634D4C7E">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201,000.00</w:t>
            </w:r>
          </w:p>
        </w:tc>
        <w:tc>
          <w:tcPr>
            <w:tcW w:w="1001" w:type="dxa"/>
            <w:tcBorders>
              <w:top w:val="single" w:color="auto" w:sz="4" w:space="0"/>
              <w:left w:val="single" w:color="auto" w:sz="4" w:space="0"/>
              <w:bottom w:val="single" w:color="auto" w:sz="4" w:space="0"/>
              <w:right w:val="single" w:color="auto" w:sz="4" w:space="0"/>
            </w:tcBorders>
            <w:noWrap/>
            <w:vAlign w:val="center"/>
          </w:tcPr>
          <w:p w14:paraId="277C5AE9">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30%</w:t>
            </w:r>
          </w:p>
        </w:tc>
        <w:tc>
          <w:tcPr>
            <w:tcW w:w="1134" w:type="dxa"/>
            <w:tcBorders>
              <w:top w:val="single" w:color="auto" w:sz="4" w:space="0"/>
              <w:left w:val="single" w:color="auto" w:sz="4" w:space="0"/>
              <w:bottom w:val="single" w:color="auto" w:sz="4" w:space="0"/>
              <w:right w:val="single" w:color="auto" w:sz="4" w:space="0"/>
            </w:tcBorders>
            <w:noWrap/>
            <w:vAlign w:val="center"/>
          </w:tcPr>
          <w:p w14:paraId="68B86E04">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drawing>
                <wp:anchor distT="0" distB="0" distL="114300" distR="114300" simplePos="0" relativeHeight="251672576" behindDoc="0" locked="0" layoutInCell="1" allowOverlap="1">
                  <wp:simplePos x="0" y="0"/>
                  <wp:positionH relativeFrom="column">
                    <wp:posOffset>-32385</wp:posOffset>
                  </wp:positionH>
                  <wp:positionV relativeFrom="paragraph">
                    <wp:posOffset>153670</wp:posOffset>
                  </wp:positionV>
                  <wp:extent cx="698500" cy="2282190"/>
                  <wp:effectExtent l="0" t="0" r="6350" b="3810"/>
                  <wp:wrapNone/>
                  <wp:docPr id="755036186" name="Picture 1"/>
                  <wp:cNvGraphicFramePr/>
                  <a:graphic xmlns:a="http://schemas.openxmlformats.org/drawingml/2006/main">
                    <a:graphicData uri="http://schemas.openxmlformats.org/drawingml/2006/picture">
                      <pic:pic xmlns:pic="http://schemas.openxmlformats.org/drawingml/2006/picture">
                        <pic:nvPicPr>
                          <pic:cNvPr id="755036186" name="Picture 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698500" cy="2282190"/>
                          </a:xfrm>
                          <a:prstGeom prst="rect">
                            <a:avLst/>
                          </a:prstGeom>
                          <a:noFill/>
                          <a:ln>
                            <a:noFill/>
                          </a:ln>
                        </pic:spPr>
                      </pic:pic>
                    </a:graphicData>
                  </a:graphic>
                </wp:anchor>
              </w:drawing>
            </w:r>
          </w:p>
        </w:tc>
        <w:tc>
          <w:tcPr>
            <w:tcW w:w="1117" w:type="dxa"/>
            <w:tcBorders>
              <w:top w:val="single" w:color="auto" w:sz="4" w:space="0"/>
              <w:left w:val="single" w:color="auto" w:sz="4" w:space="0"/>
              <w:bottom w:val="single" w:color="auto" w:sz="4" w:space="0"/>
              <w:right w:val="single" w:color="auto" w:sz="4" w:space="0"/>
            </w:tcBorders>
            <w:vAlign w:val="center"/>
          </w:tcPr>
          <w:p w14:paraId="06617356">
            <w:pPr>
              <w:spacing w:after="0" w:line="276" w:lineRule="auto"/>
              <w:jc w:val="both"/>
              <w:rPr>
                <w:rFonts w:ascii="Times New Roman" w:hAnsi="Times New Roman" w:eastAsia="Times New Roman" w:cs="Times New Roman"/>
                <w:b/>
                <w:sz w:val="16"/>
                <w:szCs w:val="16"/>
              </w:rPr>
            </w:pPr>
            <w:r>
              <w:rPr>
                <w:rFonts w:ascii="Times New Roman" w:hAnsi="Times New Roman" w:eastAsia="Times New Roman" w:cs="Times New Roman"/>
                <w:b/>
                <w:sz w:val="16"/>
                <w:szCs w:val="16"/>
              </w:rPr>
              <w:t>On-going</w:t>
            </w:r>
          </w:p>
        </w:tc>
      </w:tr>
      <w:tr w14:paraId="6ECE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01DD051D">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1719DD3D">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Drilling and Mechanization of 7 No. Limited Mechanized Boreholes</w:t>
            </w:r>
          </w:p>
        </w:tc>
        <w:tc>
          <w:tcPr>
            <w:tcW w:w="968" w:type="dxa"/>
            <w:tcBorders>
              <w:top w:val="single" w:color="auto" w:sz="4" w:space="0"/>
              <w:left w:val="single" w:color="auto" w:sz="4" w:space="0"/>
              <w:bottom w:val="single" w:color="auto" w:sz="4" w:space="0"/>
              <w:right w:val="single" w:color="auto" w:sz="4" w:space="0"/>
            </w:tcBorders>
            <w:vAlign w:val="center"/>
          </w:tcPr>
          <w:p w14:paraId="56492D60">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505E9FE7">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Kyenkyenku, Nyafoman, Kuntenase, Afosu Junior Quarters, Akoase Health Centre, Gambia &amp; New Abirem Roundabout</w:t>
            </w:r>
          </w:p>
        </w:tc>
        <w:tc>
          <w:tcPr>
            <w:tcW w:w="1164" w:type="dxa"/>
            <w:tcBorders>
              <w:top w:val="single" w:color="auto" w:sz="4" w:space="0"/>
              <w:left w:val="single" w:color="auto" w:sz="4" w:space="0"/>
              <w:bottom w:val="single" w:color="auto" w:sz="4" w:space="0"/>
              <w:right w:val="single" w:color="auto" w:sz="4" w:space="0"/>
            </w:tcBorders>
            <w:vAlign w:val="center"/>
          </w:tcPr>
          <w:p w14:paraId="59294D90">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Adwenpa Engineering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209175B1">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1,235,395.35</w:t>
            </w:r>
          </w:p>
        </w:tc>
        <w:tc>
          <w:tcPr>
            <w:tcW w:w="980" w:type="dxa"/>
            <w:tcBorders>
              <w:top w:val="single" w:color="auto" w:sz="4" w:space="0"/>
              <w:left w:val="single" w:color="auto" w:sz="4" w:space="0"/>
              <w:bottom w:val="single" w:color="auto" w:sz="4" w:space="0"/>
              <w:right w:val="single" w:color="auto" w:sz="4" w:space="0"/>
            </w:tcBorders>
            <w:noWrap/>
            <w:vAlign w:val="center"/>
          </w:tcPr>
          <w:p w14:paraId="075CBBC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0B9B9449">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6A947EB2">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5DCD6C1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7/02/26</w:t>
            </w:r>
          </w:p>
        </w:tc>
        <w:tc>
          <w:tcPr>
            <w:tcW w:w="1217" w:type="dxa"/>
            <w:tcBorders>
              <w:top w:val="single" w:color="auto" w:sz="4" w:space="0"/>
              <w:left w:val="single" w:color="auto" w:sz="4" w:space="0"/>
              <w:bottom w:val="single" w:color="auto" w:sz="4" w:space="0"/>
              <w:right w:val="single" w:color="auto" w:sz="4" w:space="0"/>
            </w:tcBorders>
            <w:noWrap/>
            <w:vAlign w:val="center"/>
          </w:tcPr>
          <w:p w14:paraId="2CB9CBF6">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1,117,738.65</w:t>
            </w:r>
          </w:p>
        </w:tc>
        <w:tc>
          <w:tcPr>
            <w:tcW w:w="1120" w:type="dxa"/>
            <w:tcBorders>
              <w:top w:val="single" w:color="auto" w:sz="4" w:space="0"/>
              <w:left w:val="single" w:color="auto" w:sz="4" w:space="0"/>
              <w:bottom w:val="single" w:color="auto" w:sz="4" w:space="0"/>
              <w:right w:val="single" w:color="auto" w:sz="4" w:space="0"/>
            </w:tcBorders>
            <w:noWrap/>
            <w:vAlign w:val="center"/>
          </w:tcPr>
          <w:p w14:paraId="6ED26904">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117,656.70</w:t>
            </w:r>
          </w:p>
        </w:tc>
        <w:tc>
          <w:tcPr>
            <w:tcW w:w="1001" w:type="dxa"/>
            <w:tcBorders>
              <w:top w:val="single" w:color="auto" w:sz="4" w:space="0"/>
              <w:left w:val="single" w:color="auto" w:sz="4" w:space="0"/>
              <w:bottom w:val="single" w:color="auto" w:sz="4" w:space="0"/>
              <w:right w:val="single" w:color="auto" w:sz="4" w:space="0"/>
            </w:tcBorders>
            <w:noWrap/>
            <w:vAlign w:val="center"/>
          </w:tcPr>
          <w:p w14:paraId="1913B7B1">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c>
          <w:tcPr>
            <w:tcW w:w="1134" w:type="dxa"/>
            <w:tcBorders>
              <w:top w:val="single" w:color="auto" w:sz="4" w:space="0"/>
              <w:left w:val="single" w:color="auto" w:sz="4" w:space="0"/>
              <w:bottom w:val="single" w:color="auto" w:sz="4" w:space="0"/>
              <w:right w:val="single" w:color="auto" w:sz="4" w:space="0"/>
            </w:tcBorders>
            <w:noWrap/>
            <w:vAlign w:val="center"/>
          </w:tcPr>
          <w:p w14:paraId="247AB0E2">
            <w:pPr>
              <w:spacing w:after="0" w:line="276" w:lineRule="auto"/>
              <w:jc w:val="both"/>
              <w:rPr>
                <w:rFonts w:ascii="Times New Roman" w:hAnsi="Times New Roman" w:eastAsia="Times New Roman" w:cs="Times New Roman"/>
                <w:sz w:val="16"/>
                <w:szCs w:val="16"/>
              </w:rPr>
            </w:pPr>
            <w:r>
              <w:drawing>
                <wp:inline distT="0" distB="0" distL="0" distR="0">
                  <wp:extent cx="609600" cy="889000"/>
                  <wp:effectExtent l="0" t="0" r="0" b="0"/>
                  <wp:docPr id="32" name="Picture 32" descr="D:\PROJECTS MONITORING\IMG_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PROJECTS MONITORING\IMG_0944.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613513" cy="895227"/>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11E08EB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b/>
                <w:sz w:val="16"/>
                <w:szCs w:val="16"/>
              </w:rPr>
              <w:t xml:space="preserve">On-going </w:t>
            </w:r>
          </w:p>
        </w:tc>
      </w:tr>
      <w:tr w14:paraId="7877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1252F0F2">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12F236FA">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Drilling and Mechanization of 10 No. Boreholes fitted with Hand Pumps</w:t>
            </w:r>
          </w:p>
        </w:tc>
        <w:tc>
          <w:tcPr>
            <w:tcW w:w="968" w:type="dxa"/>
            <w:tcBorders>
              <w:top w:val="single" w:color="auto" w:sz="4" w:space="0"/>
              <w:left w:val="single" w:color="auto" w:sz="4" w:space="0"/>
              <w:bottom w:val="single" w:color="auto" w:sz="4" w:space="0"/>
              <w:right w:val="single" w:color="auto" w:sz="4" w:space="0"/>
            </w:tcBorders>
            <w:vAlign w:val="center"/>
          </w:tcPr>
          <w:p w14:paraId="7133DE19">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Social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6DDC57A5">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Fasemkye, Asawase, Bramkrom, Abenaso No.2, Afosu Sika Woabuom, Old Abirem, Noyem, Adrobenso, Hweakwae, Tenkyemso</w:t>
            </w:r>
          </w:p>
        </w:tc>
        <w:tc>
          <w:tcPr>
            <w:tcW w:w="1164" w:type="dxa"/>
            <w:tcBorders>
              <w:top w:val="single" w:color="auto" w:sz="4" w:space="0"/>
              <w:left w:val="single" w:color="auto" w:sz="4" w:space="0"/>
              <w:bottom w:val="single" w:color="auto" w:sz="4" w:space="0"/>
              <w:right w:val="single" w:color="auto" w:sz="4" w:space="0"/>
            </w:tcBorders>
            <w:vAlign w:val="center"/>
          </w:tcPr>
          <w:p w14:paraId="391B4ACE">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Ikeboa Company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67119008">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545,130.00</w:t>
            </w:r>
          </w:p>
        </w:tc>
        <w:tc>
          <w:tcPr>
            <w:tcW w:w="980" w:type="dxa"/>
            <w:tcBorders>
              <w:top w:val="single" w:color="auto" w:sz="4" w:space="0"/>
              <w:left w:val="single" w:color="auto" w:sz="4" w:space="0"/>
              <w:bottom w:val="single" w:color="auto" w:sz="4" w:space="0"/>
              <w:right w:val="single" w:color="auto" w:sz="4" w:space="0"/>
            </w:tcBorders>
            <w:noWrap/>
            <w:vAlign w:val="center"/>
          </w:tcPr>
          <w:p w14:paraId="27CF82E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5EDCFB3B">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5E9EEC2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11D7BA8B">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7/02/26</w:t>
            </w:r>
          </w:p>
        </w:tc>
        <w:tc>
          <w:tcPr>
            <w:tcW w:w="1217" w:type="dxa"/>
            <w:tcBorders>
              <w:top w:val="single" w:color="auto" w:sz="4" w:space="0"/>
              <w:left w:val="single" w:color="auto" w:sz="4" w:space="0"/>
              <w:bottom w:val="single" w:color="auto" w:sz="4" w:space="0"/>
              <w:right w:val="single" w:color="auto" w:sz="4" w:space="0"/>
            </w:tcBorders>
            <w:noWrap/>
            <w:vAlign w:val="center"/>
          </w:tcPr>
          <w:p w14:paraId="1C1C1674">
            <w:pPr>
              <w:spacing w:after="0" w:line="276" w:lineRule="auto"/>
              <w:jc w:val="right"/>
              <w:rPr>
                <w:rFonts w:ascii="Times New Roman" w:hAnsi="Times New Roman" w:eastAsia="Times New Roman" w:cs="Times New Roman"/>
                <w:sz w:val="16"/>
                <w:szCs w:val="16"/>
              </w:rPr>
            </w:pPr>
          </w:p>
        </w:tc>
        <w:tc>
          <w:tcPr>
            <w:tcW w:w="1120" w:type="dxa"/>
            <w:tcBorders>
              <w:top w:val="single" w:color="auto" w:sz="4" w:space="0"/>
              <w:left w:val="single" w:color="auto" w:sz="4" w:space="0"/>
              <w:bottom w:val="single" w:color="auto" w:sz="4" w:space="0"/>
              <w:right w:val="single" w:color="auto" w:sz="4" w:space="0"/>
            </w:tcBorders>
            <w:noWrap/>
            <w:vAlign w:val="center"/>
          </w:tcPr>
          <w:p w14:paraId="7C961D34">
            <w:pPr>
              <w:spacing w:after="0" w:line="276" w:lineRule="auto"/>
              <w:jc w:val="right"/>
              <w:rPr>
                <w:rFonts w:ascii="Times New Roman" w:hAnsi="Times New Roman" w:eastAsia="Times New Roman" w:cs="Times New Roman"/>
                <w:sz w:val="16"/>
                <w:szCs w:val="16"/>
              </w:rPr>
            </w:pPr>
          </w:p>
        </w:tc>
        <w:tc>
          <w:tcPr>
            <w:tcW w:w="1001" w:type="dxa"/>
            <w:tcBorders>
              <w:top w:val="single" w:color="auto" w:sz="4" w:space="0"/>
              <w:left w:val="single" w:color="auto" w:sz="4" w:space="0"/>
              <w:bottom w:val="single" w:color="auto" w:sz="4" w:space="0"/>
              <w:right w:val="single" w:color="auto" w:sz="4" w:space="0"/>
            </w:tcBorders>
            <w:noWrap/>
            <w:vAlign w:val="center"/>
          </w:tcPr>
          <w:p w14:paraId="25EB5585">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65%</w:t>
            </w:r>
          </w:p>
        </w:tc>
        <w:tc>
          <w:tcPr>
            <w:tcW w:w="1134" w:type="dxa"/>
            <w:tcBorders>
              <w:top w:val="single" w:color="auto" w:sz="4" w:space="0"/>
              <w:left w:val="single" w:color="auto" w:sz="4" w:space="0"/>
              <w:bottom w:val="single" w:color="auto" w:sz="4" w:space="0"/>
              <w:right w:val="single" w:color="auto" w:sz="4" w:space="0"/>
            </w:tcBorders>
            <w:noWrap/>
            <w:vAlign w:val="center"/>
          </w:tcPr>
          <w:p w14:paraId="503C8C15">
            <w:pPr>
              <w:spacing w:after="0" w:line="276" w:lineRule="auto"/>
              <w:ind w:left="209" w:hanging="10"/>
              <w:jc w:val="both"/>
              <w:rPr>
                <w:rFonts w:ascii="Times New Roman" w:hAnsi="Times New Roman" w:eastAsia="Times New Roman" w:cs="Times New Roman"/>
                <w:sz w:val="16"/>
                <w:szCs w:val="16"/>
              </w:rPr>
            </w:pPr>
          </w:p>
        </w:tc>
        <w:tc>
          <w:tcPr>
            <w:tcW w:w="1117" w:type="dxa"/>
            <w:tcBorders>
              <w:top w:val="single" w:color="auto" w:sz="4" w:space="0"/>
              <w:left w:val="single" w:color="auto" w:sz="4" w:space="0"/>
              <w:bottom w:val="single" w:color="auto" w:sz="4" w:space="0"/>
              <w:right w:val="single" w:color="auto" w:sz="4" w:space="0"/>
            </w:tcBorders>
            <w:vAlign w:val="center"/>
          </w:tcPr>
          <w:p w14:paraId="3DD6E762">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b/>
                <w:sz w:val="16"/>
                <w:szCs w:val="16"/>
              </w:rPr>
              <w:t xml:space="preserve">On-going </w:t>
            </w:r>
          </w:p>
        </w:tc>
      </w:tr>
      <w:tr w14:paraId="3EB9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17D23AB6">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7723152E">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Office Complex for Fire Service, Immigration, Ambulance Service, NADMO &amp; NIB</w:t>
            </w:r>
          </w:p>
        </w:tc>
        <w:tc>
          <w:tcPr>
            <w:tcW w:w="968" w:type="dxa"/>
            <w:tcBorders>
              <w:top w:val="single" w:color="auto" w:sz="4" w:space="0"/>
              <w:left w:val="single" w:color="auto" w:sz="4" w:space="0"/>
              <w:bottom w:val="single" w:color="auto" w:sz="4" w:space="0"/>
              <w:right w:val="single" w:color="auto" w:sz="4" w:space="0"/>
            </w:tcBorders>
            <w:vAlign w:val="center"/>
          </w:tcPr>
          <w:p w14:paraId="17F08757">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Governance, corruption and public accountability</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0184D160">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New Abirem</w:t>
            </w:r>
          </w:p>
        </w:tc>
        <w:tc>
          <w:tcPr>
            <w:tcW w:w="1164" w:type="dxa"/>
            <w:tcBorders>
              <w:top w:val="single" w:color="auto" w:sz="4" w:space="0"/>
              <w:left w:val="single" w:color="auto" w:sz="4" w:space="0"/>
              <w:bottom w:val="single" w:color="auto" w:sz="4" w:space="0"/>
              <w:right w:val="single" w:color="auto" w:sz="4" w:space="0"/>
            </w:tcBorders>
            <w:vAlign w:val="center"/>
          </w:tcPr>
          <w:p w14:paraId="5F610F43">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Apeani Company Limited</w:t>
            </w:r>
          </w:p>
        </w:tc>
        <w:tc>
          <w:tcPr>
            <w:tcW w:w="1120" w:type="dxa"/>
            <w:tcBorders>
              <w:top w:val="single" w:color="auto" w:sz="4" w:space="0"/>
              <w:left w:val="single" w:color="auto" w:sz="4" w:space="0"/>
              <w:bottom w:val="single" w:color="auto" w:sz="4" w:space="0"/>
              <w:right w:val="single" w:color="auto" w:sz="4" w:space="0"/>
            </w:tcBorders>
            <w:noWrap/>
            <w:vAlign w:val="center"/>
          </w:tcPr>
          <w:p w14:paraId="299370CF">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3,540,277.64</w:t>
            </w:r>
          </w:p>
        </w:tc>
        <w:tc>
          <w:tcPr>
            <w:tcW w:w="980" w:type="dxa"/>
            <w:tcBorders>
              <w:top w:val="single" w:color="auto" w:sz="4" w:space="0"/>
              <w:left w:val="single" w:color="auto" w:sz="4" w:space="0"/>
              <w:bottom w:val="single" w:color="auto" w:sz="4" w:space="0"/>
              <w:right w:val="single" w:color="auto" w:sz="4" w:space="0"/>
            </w:tcBorders>
            <w:noWrap/>
            <w:vAlign w:val="center"/>
          </w:tcPr>
          <w:p w14:paraId="185B709F">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06FC38D1">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24/10/25</w:t>
            </w:r>
          </w:p>
        </w:tc>
        <w:tc>
          <w:tcPr>
            <w:tcW w:w="980" w:type="dxa"/>
            <w:tcBorders>
              <w:top w:val="single" w:color="auto" w:sz="4" w:space="0"/>
              <w:left w:val="single" w:color="auto" w:sz="4" w:space="0"/>
              <w:bottom w:val="single" w:color="auto" w:sz="4" w:space="0"/>
              <w:right w:val="single" w:color="auto" w:sz="4" w:space="0"/>
            </w:tcBorders>
            <w:noWrap/>
            <w:vAlign w:val="center"/>
          </w:tcPr>
          <w:p w14:paraId="151C4E1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24/11/25</w:t>
            </w:r>
          </w:p>
        </w:tc>
        <w:tc>
          <w:tcPr>
            <w:tcW w:w="1043" w:type="dxa"/>
            <w:tcBorders>
              <w:top w:val="single" w:color="auto" w:sz="4" w:space="0"/>
              <w:left w:val="single" w:color="auto" w:sz="4" w:space="0"/>
              <w:bottom w:val="single" w:color="auto" w:sz="4" w:space="0"/>
              <w:right w:val="single" w:color="auto" w:sz="4" w:space="0"/>
            </w:tcBorders>
            <w:noWrap/>
            <w:vAlign w:val="center"/>
          </w:tcPr>
          <w:p w14:paraId="79EDA478">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7/07/26</w:t>
            </w:r>
          </w:p>
        </w:tc>
        <w:tc>
          <w:tcPr>
            <w:tcW w:w="1217" w:type="dxa"/>
            <w:tcBorders>
              <w:top w:val="single" w:color="auto" w:sz="4" w:space="0"/>
              <w:left w:val="single" w:color="auto" w:sz="4" w:space="0"/>
              <w:bottom w:val="single" w:color="auto" w:sz="4" w:space="0"/>
              <w:right w:val="single" w:color="auto" w:sz="4" w:space="0"/>
            </w:tcBorders>
            <w:noWrap/>
            <w:vAlign w:val="center"/>
          </w:tcPr>
          <w:p w14:paraId="2CCB8C0D">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505,130.00</w:t>
            </w:r>
          </w:p>
        </w:tc>
        <w:tc>
          <w:tcPr>
            <w:tcW w:w="1120" w:type="dxa"/>
            <w:tcBorders>
              <w:top w:val="single" w:color="auto" w:sz="4" w:space="0"/>
              <w:left w:val="single" w:color="auto" w:sz="4" w:space="0"/>
              <w:bottom w:val="single" w:color="auto" w:sz="4" w:space="0"/>
              <w:right w:val="single" w:color="auto" w:sz="4" w:space="0"/>
            </w:tcBorders>
            <w:noWrap/>
            <w:vAlign w:val="center"/>
          </w:tcPr>
          <w:p w14:paraId="17C89D53">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3,546,031.58</w:t>
            </w:r>
          </w:p>
        </w:tc>
        <w:tc>
          <w:tcPr>
            <w:tcW w:w="1001" w:type="dxa"/>
            <w:tcBorders>
              <w:top w:val="single" w:color="auto" w:sz="4" w:space="0"/>
              <w:left w:val="single" w:color="auto" w:sz="4" w:space="0"/>
              <w:bottom w:val="single" w:color="auto" w:sz="4" w:space="0"/>
              <w:right w:val="single" w:color="auto" w:sz="4" w:space="0"/>
            </w:tcBorders>
            <w:noWrap/>
            <w:vAlign w:val="center"/>
          </w:tcPr>
          <w:p w14:paraId="0648416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1134" w:type="dxa"/>
            <w:tcBorders>
              <w:top w:val="single" w:color="auto" w:sz="4" w:space="0"/>
              <w:left w:val="single" w:color="auto" w:sz="4" w:space="0"/>
              <w:bottom w:val="single" w:color="auto" w:sz="4" w:space="0"/>
              <w:right w:val="single" w:color="auto" w:sz="4" w:space="0"/>
            </w:tcBorders>
            <w:noWrap/>
            <w:vAlign w:val="center"/>
          </w:tcPr>
          <w:p w14:paraId="1D012A57">
            <w:pPr>
              <w:spacing w:after="0" w:line="276" w:lineRule="auto"/>
              <w:jc w:val="both"/>
              <w:rPr>
                <w:rFonts w:ascii="Times New Roman" w:hAnsi="Times New Roman" w:eastAsia="Times New Roman" w:cs="Times New Roman"/>
                <w:sz w:val="16"/>
                <w:szCs w:val="16"/>
              </w:rPr>
            </w:pPr>
            <w:r>
              <w:drawing>
                <wp:inline distT="0" distB="0" distL="0" distR="0">
                  <wp:extent cx="638810" cy="698500"/>
                  <wp:effectExtent l="0" t="0" r="8890" b="6350"/>
                  <wp:docPr id="915901443" name="Picture 915901443" descr="D:\PROJECTS MONITORING\IMG_0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43" name="Picture 915901443" descr="D:\PROJECTS MONITORING\IMG_0983.JPG"/>
                          <pic:cNvPicPr>
                            <a:picLocks noChangeAspect="1" noChangeArrowheads="1"/>
                          </pic:cNvPicPr>
                        </pic:nvPicPr>
                        <pic:blipFill>
                          <a:blip r:embed="rId128" cstate="print">
                            <a:extLst>
                              <a:ext uri="{28A0092B-C50C-407E-A947-70E740481C1C}">
                                <a14:useLocalDpi xmlns:a14="http://schemas.microsoft.com/office/drawing/2010/main" val="0"/>
                              </a:ext>
                            </a:extLst>
                          </a:blip>
                          <a:srcRect t="28742"/>
                          <a:stretch>
                            <a:fillRect/>
                          </a:stretch>
                        </pic:blipFill>
                        <pic:spPr>
                          <a:xfrm>
                            <a:off x="0" y="0"/>
                            <a:ext cx="644252" cy="704450"/>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50C207FF">
            <w:pPr>
              <w:spacing w:after="0" w:line="276" w:lineRule="auto"/>
              <w:jc w:val="center"/>
              <w:rPr>
                <w:rFonts w:ascii="Times New Roman" w:hAnsi="Times New Roman" w:eastAsia="Times New Roman" w:cs="Times New Roman"/>
                <w:sz w:val="16"/>
                <w:szCs w:val="16"/>
              </w:rPr>
            </w:pPr>
            <w:r>
              <w:rPr>
                <w:rFonts w:ascii="Times New Roman" w:hAnsi="Times New Roman" w:eastAsia="Times New Roman" w:cs="Times New Roman"/>
                <w:b/>
                <w:sz w:val="16"/>
                <w:szCs w:val="16"/>
              </w:rPr>
              <w:t>On-going</w:t>
            </w:r>
          </w:p>
        </w:tc>
      </w:tr>
      <w:tr w14:paraId="7A69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3DE8E59">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3C07E724">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Pavement of the frontage of the 64-Lockable Sores at New Abirem</w:t>
            </w:r>
          </w:p>
        </w:tc>
        <w:tc>
          <w:tcPr>
            <w:tcW w:w="968" w:type="dxa"/>
            <w:tcBorders>
              <w:top w:val="single" w:color="auto" w:sz="4" w:space="0"/>
              <w:left w:val="single" w:color="auto" w:sz="4" w:space="0"/>
              <w:bottom w:val="single" w:color="auto" w:sz="4" w:space="0"/>
              <w:right w:val="single" w:color="auto" w:sz="4" w:space="0"/>
            </w:tcBorders>
            <w:vAlign w:val="center"/>
          </w:tcPr>
          <w:p w14:paraId="163B1ED5">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Economic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751A812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New Abirem </w:t>
            </w:r>
          </w:p>
        </w:tc>
        <w:tc>
          <w:tcPr>
            <w:tcW w:w="1164" w:type="dxa"/>
            <w:tcBorders>
              <w:top w:val="single" w:color="auto" w:sz="4" w:space="0"/>
              <w:left w:val="single" w:color="auto" w:sz="4" w:space="0"/>
              <w:bottom w:val="single" w:color="auto" w:sz="4" w:space="0"/>
              <w:right w:val="single" w:color="auto" w:sz="4" w:space="0"/>
            </w:tcBorders>
            <w:vAlign w:val="center"/>
          </w:tcPr>
          <w:p w14:paraId="14DABD92">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Ikeboa Company Ltd</w:t>
            </w:r>
          </w:p>
        </w:tc>
        <w:tc>
          <w:tcPr>
            <w:tcW w:w="1120" w:type="dxa"/>
            <w:tcBorders>
              <w:top w:val="single" w:color="auto" w:sz="4" w:space="0"/>
              <w:left w:val="single" w:color="auto" w:sz="4" w:space="0"/>
              <w:bottom w:val="single" w:color="auto" w:sz="4" w:space="0"/>
              <w:right w:val="single" w:color="auto" w:sz="4" w:space="0"/>
            </w:tcBorders>
            <w:noWrap/>
            <w:vAlign w:val="center"/>
          </w:tcPr>
          <w:p w14:paraId="26A74742">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523,479.00</w:t>
            </w:r>
          </w:p>
        </w:tc>
        <w:tc>
          <w:tcPr>
            <w:tcW w:w="980" w:type="dxa"/>
            <w:tcBorders>
              <w:top w:val="single" w:color="auto" w:sz="4" w:space="0"/>
              <w:left w:val="single" w:color="auto" w:sz="4" w:space="0"/>
              <w:bottom w:val="single" w:color="auto" w:sz="4" w:space="0"/>
              <w:right w:val="single" w:color="auto" w:sz="4" w:space="0"/>
            </w:tcBorders>
            <w:noWrap/>
            <w:vAlign w:val="center"/>
          </w:tcPr>
          <w:p w14:paraId="7A6571CF">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IGF</w:t>
            </w:r>
          </w:p>
        </w:tc>
        <w:tc>
          <w:tcPr>
            <w:tcW w:w="918" w:type="dxa"/>
            <w:tcBorders>
              <w:top w:val="single" w:color="auto" w:sz="4" w:space="0"/>
              <w:left w:val="single" w:color="auto" w:sz="4" w:space="0"/>
              <w:bottom w:val="single" w:color="auto" w:sz="4" w:space="0"/>
              <w:right w:val="single" w:color="auto" w:sz="4" w:space="0"/>
            </w:tcBorders>
            <w:noWrap/>
            <w:vAlign w:val="center"/>
          </w:tcPr>
          <w:p w14:paraId="20CC134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24/12/25</w:t>
            </w:r>
          </w:p>
        </w:tc>
        <w:tc>
          <w:tcPr>
            <w:tcW w:w="980" w:type="dxa"/>
            <w:tcBorders>
              <w:top w:val="single" w:color="auto" w:sz="4" w:space="0"/>
              <w:left w:val="single" w:color="auto" w:sz="4" w:space="0"/>
              <w:bottom w:val="single" w:color="auto" w:sz="4" w:space="0"/>
              <w:right w:val="single" w:color="auto" w:sz="4" w:space="0"/>
            </w:tcBorders>
            <w:noWrap/>
            <w:vAlign w:val="center"/>
          </w:tcPr>
          <w:p w14:paraId="500D499D">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01/01/26</w:t>
            </w:r>
          </w:p>
        </w:tc>
        <w:tc>
          <w:tcPr>
            <w:tcW w:w="1043" w:type="dxa"/>
            <w:tcBorders>
              <w:top w:val="single" w:color="auto" w:sz="4" w:space="0"/>
              <w:left w:val="single" w:color="auto" w:sz="4" w:space="0"/>
              <w:bottom w:val="single" w:color="auto" w:sz="4" w:space="0"/>
              <w:right w:val="single" w:color="auto" w:sz="4" w:space="0"/>
            </w:tcBorders>
            <w:noWrap/>
            <w:vAlign w:val="center"/>
          </w:tcPr>
          <w:p w14:paraId="28CDE14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01/03/26</w:t>
            </w:r>
          </w:p>
        </w:tc>
        <w:tc>
          <w:tcPr>
            <w:tcW w:w="1217" w:type="dxa"/>
            <w:tcBorders>
              <w:top w:val="single" w:color="auto" w:sz="4" w:space="0"/>
              <w:left w:val="single" w:color="auto" w:sz="4" w:space="0"/>
              <w:bottom w:val="single" w:color="auto" w:sz="4" w:space="0"/>
              <w:right w:val="single" w:color="auto" w:sz="4" w:space="0"/>
            </w:tcBorders>
            <w:noWrap/>
            <w:vAlign w:val="center"/>
          </w:tcPr>
          <w:p w14:paraId="7D493BEF">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495,862.74</w:t>
            </w:r>
          </w:p>
        </w:tc>
        <w:tc>
          <w:tcPr>
            <w:tcW w:w="1120" w:type="dxa"/>
            <w:tcBorders>
              <w:top w:val="single" w:color="auto" w:sz="4" w:space="0"/>
              <w:left w:val="single" w:color="auto" w:sz="4" w:space="0"/>
              <w:bottom w:val="single" w:color="auto" w:sz="4" w:space="0"/>
              <w:right w:val="single" w:color="auto" w:sz="4" w:space="0"/>
            </w:tcBorders>
            <w:noWrap/>
            <w:vAlign w:val="center"/>
          </w:tcPr>
          <w:p w14:paraId="7D8D2E6A">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27,616.26</w:t>
            </w:r>
          </w:p>
        </w:tc>
        <w:tc>
          <w:tcPr>
            <w:tcW w:w="1001" w:type="dxa"/>
            <w:tcBorders>
              <w:top w:val="single" w:color="auto" w:sz="4" w:space="0"/>
              <w:left w:val="single" w:color="auto" w:sz="4" w:space="0"/>
              <w:bottom w:val="single" w:color="auto" w:sz="4" w:space="0"/>
              <w:right w:val="single" w:color="auto" w:sz="4" w:space="0"/>
            </w:tcBorders>
            <w:noWrap/>
            <w:vAlign w:val="center"/>
          </w:tcPr>
          <w:p w14:paraId="2C3A9C9C">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95%</w:t>
            </w:r>
          </w:p>
        </w:tc>
        <w:tc>
          <w:tcPr>
            <w:tcW w:w="1134" w:type="dxa"/>
            <w:tcBorders>
              <w:top w:val="single" w:color="auto" w:sz="4" w:space="0"/>
              <w:left w:val="single" w:color="auto" w:sz="4" w:space="0"/>
              <w:bottom w:val="single" w:color="auto" w:sz="4" w:space="0"/>
              <w:right w:val="single" w:color="auto" w:sz="4" w:space="0"/>
            </w:tcBorders>
            <w:noWrap/>
            <w:vAlign w:val="center"/>
          </w:tcPr>
          <w:p w14:paraId="5F96C923">
            <w:pPr>
              <w:spacing w:after="0" w:line="276" w:lineRule="auto"/>
              <w:jc w:val="both"/>
              <w:rPr>
                <w:rFonts w:ascii="Times New Roman" w:hAnsi="Times New Roman" w:eastAsia="Times New Roman" w:cs="Times New Roman"/>
                <w:sz w:val="16"/>
                <w:szCs w:val="16"/>
              </w:rPr>
            </w:pPr>
            <w:r>
              <w:drawing>
                <wp:inline distT="0" distB="0" distL="0" distR="0">
                  <wp:extent cx="638810" cy="603250"/>
                  <wp:effectExtent l="0" t="0" r="8890" b="6350"/>
                  <wp:docPr id="915901450" name="Picture 915901450" descr="C:\Users\D\OneDrive\Desktop\PAV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1450" name="Picture 915901450" descr="C:\Users\D\OneDrive\Desktop\PAVEMENT.jpeg"/>
                          <pic:cNvPicPr>
                            <a:picLocks noChangeAspect="1" noChangeArrowheads="1"/>
                          </pic:cNvPicPr>
                        </pic:nvPicPr>
                        <pic:blipFill>
                          <a:blip r:embed="rId129" cstate="print">
                            <a:extLst>
                              <a:ext uri="{28A0092B-C50C-407E-A947-70E740481C1C}">
                                <a14:useLocalDpi xmlns:a14="http://schemas.microsoft.com/office/drawing/2010/main" val="0"/>
                              </a:ext>
                            </a:extLst>
                          </a:blip>
                          <a:srcRect t="22655" b="15242"/>
                          <a:stretch>
                            <a:fillRect/>
                          </a:stretch>
                        </pic:blipFill>
                        <pic:spPr>
                          <a:xfrm flipH="1">
                            <a:off x="0" y="0"/>
                            <a:ext cx="693116" cy="654533"/>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36AF33F5">
            <w:pPr>
              <w:spacing w:after="0" w:line="276" w:lineRule="auto"/>
              <w:jc w:val="center"/>
              <w:rPr>
                <w:rFonts w:ascii="Times New Roman" w:hAnsi="Times New Roman" w:eastAsia="Times New Roman" w:cs="Times New Roman"/>
                <w:b/>
                <w:sz w:val="16"/>
                <w:szCs w:val="16"/>
              </w:rPr>
            </w:pPr>
            <w:r>
              <w:rPr>
                <w:rFonts w:ascii="Times New Roman" w:hAnsi="Times New Roman" w:eastAsia="Times New Roman" w:cs="Times New Roman"/>
                <w:bCs/>
                <w:sz w:val="16"/>
                <w:szCs w:val="16"/>
              </w:rPr>
              <w:t>On-going</w:t>
            </w:r>
          </w:p>
        </w:tc>
      </w:tr>
      <w:tr w14:paraId="34FD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2D5444AD">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14DB6C01">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1No CHPS Compound</w:t>
            </w:r>
          </w:p>
        </w:tc>
        <w:tc>
          <w:tcPr>
            <w:tcW w:w="968" w:type="dxa"/>
            <w:tcBorders>
              <w:top w:val="single" w:color="auto" w:sz="4" w:space="0"/>
              <w:left w:val="single" w:color="auto" w:sz="4" w:space="0"/>
              <w:bottom w:val="single" w:color="auto" w:sz="4" w:space="0"/>
              <w:right w:val="single" w:color="auto" w:sz="4" w:space="0"/>
            </w:tcBorders>
            <w:vAlign w:val="center"/>
          </w:tcPr>
          <w:p w14:paraId="40CB1CF5">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4B22BE7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Amenam</w:t>
            </w:r>
          </w:p>
        </w:tc>
        <w:tc>
          <w:tcPr>
            <w:tcW w:w="1164" w:type="dxa"/>
            <w:tcBorders>
              <w:top w:val="single" w:color="auto" w:sz="4" w:space="0"/>
              <w:left w:val="single" w:color="auto" w:sz="4" w:space="0"/>
              <w:bottom w:val="single" w:color="auto" w:sz="4" w:space="0"/>
              <w:right w:val="single" w:color="auto" w:sz="4" w:space="0"/>
            </w:tcBorders>
            <w:vAlign w:val="center"/>
          </w:tcPr>
          <w:p w14:paraId="0EF2B94C">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Gu-Manuel Company Limited </w:t>
            </w:r>
          </w:p>
        </w:tc>
        <w:tc>
          <w:tcPr>
            <w:tcW w:w="1120" w:type="dxa"/>
            <w:tcBorders>
              <w:top w:val="single" w:color="auto" w:sz="4" w:space="0"/>
              <w:left w:val="single" w:color="auto" w:sz="4" w:space="0"/>
              <w:bottom w:val="single" w:color="auto" w:sz="4" w:space="0"/>
              <w:right w:val="single" w:color="auto" w:sz="4" w:space="0"/>
            </w:tcBorders>
            <w:noWrap/>
            <w:vAlign w:val="center"/>
          </w:tcPr>
          <w:p w14:paraId="10BB6411">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970,794.00</w:t>
            </w:r>
          </w:p>
        </w:tc>
        <w:tc>
          <w:tcPr>
            <w:tcW w:w="980" w:type="dxa"/>
            <w:tcBorders>
              <w:top w:val="single" w:color="auto" w:sz="4" w:space="0"/>
              <w:left w:val="single" w:color="auto" w:sz="4" w:space="0"/>
              <w:bottom w:val="single" w:color="auto" w:sz="4" w:space="0"/>
              <w:right w:val="single" w:color="auto" w:sz="4" w:space="0"/>
            </w:tcBorders>
            <w:noWrap/>
            <w:vAlign w:val="center"/>
          </w:tcPr>
          <w:p w14:paraId="7FFA9047">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4A7DE529">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24/12/25</w:t>
            </w:r>
          </w:p>
        </w:tc>
        <w:tc>
          <w:tcPr>
            <w:tcW w:w="980" w:type="dxa"/>
            <w:tcBorders>
              <w:top w:val="single" w:color="auto" w:sz="4" w:space="0"/>
              <w:left w:val="single" w:color="auto" w:sz="4" w:space="0"/>
              <w:bottom w:val="single" w:color="auto" w:sz="4" w:space="0"/>
              <w:right w:val="single" w:color="auto" w:sz="4" w:space="0"/>
            </w:tcBorders>
            <w:noWrap/>
            <w:vAlign w:val="center"/>
          </w:tcPr>
          <w:p w14:paraId="5ACD28FD">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01/01/26</w:t>
            </w:r>
          </w:p>
        </w:tc>
        <w:tc>
          <w:tcPr>
            <w:tcW w:w="1043" w:type="dxa"/>
            <w:tcBorders>
              <w:top w:val="single" w:color="auto" w:sz="4" w:space="0"/>
              <w:left w:val="single" w:color="auto" w:sz="4" w:space="0"/>
              <w:bottom w:val="single" w:color="auto" w:sz="4" w:space="0"/>
              <w:right w:val="single" w:color="auto" w:sz="4" w:space="0"/>
            </w:tcBorders>
            <w:noWrap/>
            <w:vAlign w:val="center"/>
          </w:tcPr>
          <w:p w14:paraId="0BAA5C9D">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01/05/26</w:t>
            </w:r>
          </w:p>
        </w:tc>
        <w:tc>
          <w:tcPr>
            <w:tcW w:w="1217" w:type="dxa"/>
            <w:tcBorders>
              <w:top w:val="single" w:color="auto" w:sz="4" w:space="0"/>
              <w:left w:val="single" w:color="auto" w:sz="4" w:space="0"/>
              <w:bottom w:val="single" w:color="auto" w:sz="4" w:space="0"/>
              <w:right w:val="single" w:color="auto" w:sz="4" w:space="0"/>
            </w:tcBorders>
            <w:noWrap/>
            <w:vAlign w:val="center"/>
          </w:tcPr>
          <w:p w14:paraId="21AF9953">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0.00</w:t>
            </w:r>
          </w:p>
        </w:tc>
        <w:tc>
          <w:tcPr>
            <w:tcW w:w="1120" w:type="dxa"/>
            <w:tcBorders>
              <w:top w:val="single" w:color="auto" w:sz="4" w:space="0"/>
              <w:left w:val="single" w:color="auto" w:sz="4" w:space="0"/>
              <w:bottom w:val="single" w:color="auto" w:sz="4" w:space="0"/>
              <w:right w:val="single" w:color="auto" w:sz="4" w:space="0"/>
            </w:tcBorders>
            <w:noWrap/>
            <w:vAlign w:val="center"/>
          </w:tcPr>
          <w:p w14:paraId="6899D805">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970,794.00</w:t>
            </w:r>
          </w:p>
        </w:tc>
        <w:tc>
          <w:tcPr>
            <w:tcW w:w="1001" w:type="dxa"/>
            <w:tcBorders>
              <w:top w:val="single" w:color="auto" w:sz="4" w:space="0"/>
              <w:left w:val="single" w:color="auto" w:sz="4" w:space="0"/>
              <w:bottom w:val="single" w:color="auto" w:sz="4" w:space="0"/>
              <w:right w:val="single" w:color="auto" w:sz="4" w:space="0"/>
            </w:tcBorders>
            <w:noWrap/>
            <w:vAlign w:val="center"/>
          </w:tcPr>
          <w:p w14:paraId="710133F8">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65%</w:t>
            </w:r>
          </w:p>
        </w:tc>
        <w:tc>
          <w:tcPr>
            <w:tcW w:w="1134" w:type="dxa"/>
            <w:tcBorders>
              <w:top w:val="single" w:color="auto" w:sz="4" w:space="0"/>
              <w:left w:val="single" w:color="auto" w:sz="4" w:space="0"/>
              <w:bottom w:val="single" w:color="auto" w:sz="4" w:space="0"/>
              <w:right w:val="single" w:color="auto" w:sz="4" w:space="0"/>
            </w:tcBorders>
            <w:noWrap/>
            <w:vAlign w:val="center"/>
          </w:tcPr>
          <w:p w14:paraId="5633B079">
            <w:pPr>
              <w:spacing w:after="0" w:line="276" w:lineRule="auto"/>
              <w:jc w:val="both"/>
              <w:rPr>
                <w:rFonts w:ascii="Times New Roman" w:hAnsi="Times New Roman" w:eastAsia="Times New Roman" w:cs="Times New Roman"/>
                <w:sz w:val="16"/>
                <w:szCs w:val="16"/>
              </w:rPr>
            </w:pPr>
            <w:r>
              <w:drawing>
                <wp:inline distT="0" distB="0" distL="0" distR="0">
                  <wp:extent cx="638810" cy="496570"/>
                  <wp:effectExtent l="0" t="0" r="8890" b="0"/>
                  <wp:docPr id="46" name="Picture 46" descr="D:\PROJECTS MONITORING\IMG_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PROJECTS MONITORING\IMG_0969.JPG"/>
                          <pic:cNvPicPr>
                            <a:picLocks noChangeAspect="1" noChangeArrowheads="1"/>
                          </pic:cNvPicPr>
                        </pic:nvPicPr>
                        <pic:blipFill>
                          <a:blip r:embed="rId130" cstate="print">
                            <a:extLst>
                              <a:ext uri="{28A0092B-C50C-407E-A947-70E740481C1C}">
                                <a14:useLocalDpi xmlns:a14="http://schemas.microsoft.com/office/drawing/2010/main" val="0"/>
                              </a:ext>
                            </a:extLst>
                          </a:blip>
                          <a:srcRect t="25665"/>
                          <a:stretch>
                            <a:fillRect/>
                          </a:stretch>
                        </pic:blipFill>
                        <pic:spPr>
                          <a:xfrm>
                            <a:off x="0" y="0"/>
                            <a:ext cx="641403" cy="498586"/>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1805E3B5">
            <w:pPr>
              <w:spacing w:after="0" w:line="276" w:lineRule="auto"/>
              <w:jc w:val="center"/>
              <w:rPr>
                <w:rFonts w:ascii="Times New Roman" w:hAnsi="Times New Roman" w:eastAsia="Times New Roman" w:cs="Times New Roman"/>
                <w:b/>
                <w:sz w:val="16"/>
                <w:szCs w:val="16"/>
              </w:rPr>
            </w:pPr>
            <w:r>
              <w:rPr>
                <w:rFonts w:ascii="Times New Roman" w:hAnsi="Times New Roman" w:eastAsia="Times New Roman" w:cs="Times New Roman"/>
                <w:bCs/>
                <w:sz w:val="16"/>
                <w:szCs w:val="16"/>
              </w:rPr>
              <w:t>On-going</w:t>
            </w:r>
          </w:p>
        </w:tc>
      </w:tr>
      <w:tr w14:paraId="47A1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0958F059">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340944F9">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Provision of Network Booster to communities</w:t>
            </w:r>
          </w:p>
        </w:tc>
        <w:tc>
          <w:tcPr>
            <w:tcW w:w="968" w:type="dxa"/>
            <w:tcBorders>
              <w:top w:val="single" w:color="auto" w:sz="4" w:space="0"/>
              <w:left w:val="single" w:color="auto" w:sz="4" w:space="0"/>
              <w:bottom w:val="single" w:color="auto" w:sz="4" w:space="0"/>
              <w:right w:val="single" w:color="auto" w:sz="4" w:space="0"/>
            </w:tcBorders>
            <w:vAlign w:val="center"/>
          </w:tcPr>
          <w:p w14:paraId="62A7D89A">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Infrastrucuture Development</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7255A396">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Odontuase</w:t>
            </w:r>
          </w:p>
          <w:p w14:paraId="33CBB599">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Akrofonso</w:t>
            </w:r>
          </w:p>
          <w:p w14:paraId="57DC79D3">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Hweakwa</w:t>
            </w:r>
          </w:p>
          <w:p w14:paraId="037C7A54">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Domeabra</w:t>
            </w:r>
          </w:p>
          <w:p w14:paraId="5B9E0A9F">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Nwinso</w:t>
            </w:r>
          </w:p>
          <w:p w14:paraId="16075A3A">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Okaikrom</w:t>
            </w:r>
          </w:p>
          <w:p w14:paraId="5C2D651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Sakapia</w:t>
            </w:r>
          </w:p>
        </w:tc>
        <w:tc>
          <w:tcPr>
            <w:tcW w:w="1164" w:type="dxa"/>
            <w:tcBorders>
              <w:top w:val="single" w:color="auto" w:sz="4" w:space="0"/>
              <w:left w:val="single" w:color="auto" w:sz="4" w:space="0"/>
              <w:bottom w:val="single" w:color="auto" w:sz="4" w:space="0"/>
              <w:right w:val="single" w:color="auto" w:sz="4" w:space="0"/>
            </w:tcBorders>
            <w:vAlign w:val="center"/>
          </w:tcPr>
          <w:p w14:paraId="548CC2DB">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DPCU</w:t>
            </w:r>
          </w:p>
        </w:tc>
        <w:tc>
          <w:tcPr>
            <w:tcW w:w="1120" w:type="dxa"/>
            <w:tcBorders>
              <w:top w:val="single" w:color="auto" w:sz="4" w:space="0"/>
              <w:left w:val="single" w:color="auto" w:sz="4" w:space="0"/>
              <w:bottom w:val="single" w:color="auto" w:sz="4" w:space="0"/>
              <w:right w:val="single" w:color="auto" w:sz="4" w:space="0"/>
            </w:tcBorders>
            <w:noWrap/>
            <w:vAlign w:val="center"/>
          </w:tcPr>
          <w:p w14:paraId="371C23AD">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980" w:type="dxa"/>
            <w:tcBorders>
              <w:top w:val="single" w:color="auto" w:sz="4" w:space="0"/>
              <w:left w:val="single" w:color="auto" w:sz="4" w:space="0"/>
              <w:bottom w:val="single" w:color="auto" w:sz="4" w:space="0"/>
              <w:right w:val="single" w:color="auto" w:sz="4" w:space="0"/>
            </w:tcBorders>
            <w:noWrap/>
            <w:vAlign w:val="center"/>
          </w:tcPr>
          <w:p w14:paraId="4D916EB3">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918" w:type="dxa"/>
            <w:tcBorders>
              <w:top w:val="single" w:color="auto" w:sz="4" w:space="0"/>
              <w:left w:val="single" w:color="auto" w:sz="4" w:space="0"/>
              <w:bottom w:val="single" w:color="auto" w:sz="4" w:space="0"/>
              <w:right w:val="single" w:color="auto" w:sz="4" w:space="0"/>
            </w:tcBorders>
            <w:noWrap/>
            <w:vAlign w:val="center"/>
          </w:tcPr>
          <w:p w14:paraId="5F50B479">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980" w:type="dxa"/>
            <w:tcBorders>
              <w:top w:val="single" w:color="auto" w:sz="4" w:space="0"/>
              <w:left w:val="single" w:color="auto" w:sz="4" w:space="0"/>
              <w:bottom w:val="single" w:color="auto" w:sz="4" w:space="0"/>
              <w:right w:val="single" w:color="auto" w:sz="4" w:space="0"/>
            </w:tcBorders>
            <w:noWrap/>
            <w:vAlign w:val="center"/>
          </w:tcPr>
          <w:p w14:paraId="362871E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1043" w:type="dxa"/>
            <w:tcBorders>
              <w:top w:val="single" w:color="auto" w:sz="4" w:space="0"/>
              <w:left w:val="single" w:color="auto" w:sz="4" w:space="0"/>
              <w:bottom w:val="single" w:color="auto" w:sz="4" w:space="0"/>
              <w:right w:val="single" w:color="auto" w:sz="4" w:space="0"/>
            </w:tcBorders>
            <w:noWrap/>
            <w:vAlign w:val="center"/>
          </w:tcPr>
          <w:p w14:paraId="48A7877C">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1217" w:type="dxa"/>
            <w:tcBorders>
              <w:top w:val="single" w:color="auto" w:sz="4" w:space="0"/>
              <w:left w:val="single" w:color="auto" w:sz="4" w:space="0"/>
              <w:bottom w:val="single" w:color="auto" w:sz="4" w:space="0"/>
              <w:right w:val="single" w:color="auto" w:sz="4" w:space="0"/>
            </w:tcBorders>
            <w:noWrap/>
            <w:vAlign w:val="center"/>
          </w:tcPr>
          <w:p w14:paraId="5E057996">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1120" w:type="dxa"/>
            <w:tcBorders>
              <w:top w:val="single" w:color="auto" w:sz="4" w:space="0"/>
              <w:left w:val="single" w:color="auto" w:sz="4" w:space="0"/>
              <w:bottom w:val="single" w:color="auto" w:sz="4" w:space="0"/>
              <w:right w:val="single" w:color="auto" w:sz="4" w:space="0"/>
            </w:tcBorders>
            <w:noWrap/>
            <w:vAlign w:val="center"/>
          </w:tcPr>
          <w:p w14:paraId="13164BA8">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1001" w:type="dxa"/>
            <w:tcBorders>
              <w:top w:val="single" w:color="auto" w:sz="4" w:space="0"/>
              <w:left w:val="single" w:color="auto" w:sz="4" w:space="0"/>
              <w:bottom w:val="single" w:color="auto" w:sz="4" w:space="0"/>
              <w:right w:val="single" w:color="auto" w:sz="4" w:space="0"/>
            </w:tcBorders>
            <w:noWrap/>
            <w:vAlign w:val="center"/>
          </w:tcPr>
          <w:p w14:paraId="59612F8A">
            <w:pPr>
              <w:spacing w:after="0" w:line="276"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0069B43A">
            <w:pPr>
              <w:spacing w:after="0" w:line="276" w:lineRule="auto"/>
              <w:jc w:val="both"/>
            </w:pPr>
          </w:p>
        </w:tc>
        <w:tc>
          <w:tcPr>
            <w:tcW w:w="1117" w:type="dxa"/>
            <w:tcBorders>
              <w:top w:val="single" w:color="auto" w:sz="4" w:space="0"/>
              <w:left w:val="single" w:color="auto" w:sz="4" w:space="0"/>
              <w:bottom w:val="single" w:color="auto" w:sz="4" w:space="0"/>
              <w:right w:val="single" w:color="auto" w:sz="4" w:space="0"/>
            </w:tcBorders>
            <w:vAlign w:val="center"/>
          </w:tcPr>
          <w:p w14:paraId="7233C88B">
            <w:pPr>
              <w:spacing w:after="0" w:line="276" w:lineRule="auto"/>
              <w:jc w:val="center"/>
              <w:rPr>
                <w:rFonts w:ascii="Times New Roman" w:hAnsi="Times New Roman" w:eastAsia="Times New Roman" w:cs="Times New Roman"/>
                <w:bCs/>
                <w:sz w:val="16"/>
                <w:szCs w:val="16"/>
              </w:rPr>
            </w:pPr>
            <w:r>
              <w:rPr>
                <w:rFonts w:ascii="Times New Roman" w:hAnsi="Times New Roman" w:eastAsia="Times New Roman" w:cs="Times New Roman"/>
                <w:bCs/>
                <w:sz w:val="16"/>
                <w:szCs w:val="16"/>
              </w:rPr>
              <w:t>On-going</w:t>
            </w:r>
          </w:p>
        </w:tc>
      </w:tr>
      <w:tr w14:paraId="5EEC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83" w:hRule="atLeast"/>
        </w:trPr>
        <w:tc>
          <w:tcPr>
            <w:tcW w:w="534" w:type="dxa"/>
            <w:tcBorders>
              <w:top w:val="single" w:color="auto" w:sz="4" w:space="0"/>
              <w:left w:val="single" w:color="auto" w:sz="4" w:space="0"/>
              <w:bottom w:val="single" w:color="auto" w:sz="4" w:space="0"/>
              <w:right w:val="single" w:color="auto" w:sz="4" w:space="0"/>
            </w:tcBorders>
            <w:noWrap/>
            <w:vAlign w:val="center"/>
          </w:tcPr>
          <w:p w14:paraId="750F9FDA">
            <w:pPr>
              <w:spacing w:after="0" w:line="276" w:lineRule="auto"/>
              <w:ind w:left="209" w:hanging="10"/>
              <w:jc w:val="both"/>
              <w:rPr>
                <w:rFonts w:ascii="Times New Roman" w:hAnsi="Times New Roman" w:eastAsia="Times New Roman" w:cs="Times New Roman"/>
                <w:b/>
                <w:sz w:val="16"/>
                <w:szCs w:val="16"/>
              </w:rPr>
            </w:pPr>
          </w:p>
        </w:tc>
        <w:tc>
          <w:tcPr>
            <w:tcW w:w="1689" w:type="dxa"/>
            <w:tcBorders>
              <w:top w:val="single" w:color="auto" w:sz="4" w:space="0"/>
              <w:left w:val="single" w:color="auto" w:sz="4" w:space="0"/>
              <w:bottom w:val="single" w:color="auto" w:sz="4" w:space="0"/>
              <w:right w:val="single" w:color="auto" w:sz="4" w:space="0"/>
            </w:tcBorders>
            <w:shd w:val="clear" w:color="auto" w:fill="FAE2D5"/>
            <w:vAlign w:val="center"/>
          </w:tcPr>
          <w:p w14:paraId="737460AF">
            <w:pPr>
              <w:numPr>
                <w:ilvl w:val="0"/>
                <w:numId w:val="8"/>
              </w:num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Construction of CHPS Compound</w:t>
            </w:r>
          </w:p>
        </w:tc>
        <w:tc>
          <w:tcPr>
            <w:tcW w:w="968" w:type="dxa"/>
            <w:tcBorders>
              <w:top w:val="single" w:color="auto" w:sz="4" w:space="0"/>
              <w:left w:val="single" w:color="auto" w:sz="4" w:space="0"/>
              <w:bottom w:val="single" w:color="auto" w:sz="4" w:space="0"/>
              <w:right w:val="single" w:color="auto" w:sz="4" w:space="0"/>
            </w:tcBorders>
            <w:vAlign w:val="center"/>
          </w:tcPr>
          <w:p w14:paraId="52AE0864">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Social development </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14:paraId="7984D70A">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Odontuase</w:t>
            </w:r>
          </w:p>
        </w:tc>
        <w:tc>
          <w:tcPr>
            <w:tcW w:w="1164" w:type="dxa"/>
            <w:tcBorders>
              <w:top w:val="single" w:color="auto" w:sz="4" w:space="0"/>
              <w:left w:val="single" w:color="auto" w:sz="4" w:space="0"/>
              <w:bottom w:val="single" w:color="auto" w:sz="4" w:space="0"/>
              <w:right w:val="single" w:color="auto" w:sz="4" w:space="0"/>
            </w:tcBorders>
            <w:vAlign w:val="center"/>
          </w:tcPr>
          <w:p w14:paraId="783A9E5B">
            <w:pPr>
              <w:spacing w:after="0" w:line="276"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M. Namsa Ventures</w:t>
            </w:r>
          </w:p>
        </w:tc>
        <w:tc>
          <w:tcPr>
            <w:tcW w:w="1120" w:type="dxa"/>
            <w:tcBorders>
              <w:top w:val="single" w:color="auto" w:sz="4" w:space="0"/>
              <w:left w:val="single" w:color="auto" w:sz="4" w:space="0"/>
              <w:bottom w:val="single" w:color="auto" w:sz="4" w:space="0"/>
              <w:right w:val="single" w:color="auto" w:sz="4" w:space="0"/>
            </w:tcBorders>
            <w:noWrap/>
            <w:vAlign w:val="center"/>
          </w:tcPr>
          <w:p w14:paraId="7BD9EF7B">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984,089.00</w:t>
            </w:r>
          </w:p>
        </w:tc>
        <w:tc>
          <w:tcPr>
            <w:tcW w:w="980" w:type="dxa"/>
            <w:tcBorders>
              <w:top w:val="single" w:color="auto" w:sz="4" w:space="0"/>
              <w:left w:val="single" w:color="auto" w:sz="4" w:space="0"/>
              <w:bottom w:val="single" w:color="auto" w:sz="4" w:space="0"/>
              <w:right w:val="single" w:color="auto" w:sz="4" w:space="0"/>
            </w:tcBorders>
            <w:noWrap/>
            <w:vAlign w:val="center"/>
          </w:tcPr>
          <w:p w14:paraId="72C54D92">
            <w:pPr>
              <w:spacing w:after="0" w:line="276" w:lineRule="auto"/>
              <w:ind w:left="209" w:hanging="1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DACF</w:t>
            </w:r>
          </w:p>
        </w:tc>
        <w:tc>
          <w:tcPr>
            <w:tcW w:w="918" w:type="dxa"/>
            <w:tcBorders>
              <w:top w:val="single" w:color="auto" w:sz="4" w:space="0"/>
              <w:left w:val="single" w:color="auto" w:sz="4" w:space="0"/>
              <w:bottom w:val="single" w:color="auto" w:sz="4" w:space="0"/>
              <w:right w:val="single" w:color="auto" w:sz="4" w:space="0"/>
            </w:tcBorders>
            <w:noWrap/>
            <w:vAlign w:val="center"/>
          </w:tcPr>
          <w:p w14:paraId="163DDF0A">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24/12/25</w:t>
            </w:r>
          </w:p>
        </w:tc>
        <w:tc>
          <w:tcPr>
            <w:tcW w:w="980" w:type="dxa"/>
            <w:tcBorders>
              <w:top w:val="single" w:color="auto" w:sz="4" w:space="0"/>
              <w:left w:val="single" w:color="auto" w:sz="4" w:space="0"/>
              <w:bottom w:val="single" w:color="auto" w:sz="4" w:space="0"/>
              <w:right w:val="single" w:color="auto" w:sz="4" w:space="0"/>
            </w:tcBorders>
            <w:noWrap/>
            <w:vAlign w:val="center"/>
          </w:tcPr>
          <w:p w14:paraId="5EA245F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01/01/26</w:t>
            </w:r>
          </w:p>
        </w:tc>
        <w:tc>
          <w:tcPr>
            <w:tcW w:w="1043" w:type="dxa"/>
            <w:tcBorders>
              <w:top w:val="single" w:color="auto" w:sz="4" w:space="0"/>
              <w:left w:val="single" w:color="auto" w:sz="4" w:space="0"/>
              <w:bottom w:val="single" w:color="auto" w:sz="4" w:space="0"/>
              <w:right w:val="single" w:color="auto" w:sz="4" w:space="0"/>
            </w:tcBorders>
            <w:noWrap/>
            <w:vAlign w:val="center"/>
          </w:tcPr>
          <w:p w14:paraId="1264066E">
            <w:pPr>
              <w:spacing w:after="0" w:line="276"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01/05/26</w:t>
            </w:r>
          </w:p>
        </w:tc>
        <w:tc>
          <w:tcPr>
            <w:tcW w:w="1217" w:type="dxa"/>
            <w:tcBorders>
              <w:top w:val="single" w:color="auto" w:sz="4" w:space="0"/>
              <w:left w:val="single" w:color="auto" w:sz="4" w:space="0"/>
              <w:bottom w:val="single" w:color="auto" w:sz="4" w:space="0"/>
              <w:right w:val="single" w:color="auto" w:sz="4" w:space="0"/>
            </w:tcBorders>
            <w:noWrap/>
            <w:vAlign w:val="center"/>
          </w:tcPr>
          <w:p w14:paraId="225765AE">
            <w:pPr>
              <w:spacing w:after="0" w:line="276" w:lineRule="auto"/>
              <w:ind w:left="209" w:hanging="10"/>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688,365.42</w:t>
            </w:r>
          </w:p>
        </w:tc>
        <w:tc>
          <w:tcPr>
            <w:tcW w:w="1120" w:type="dxa"/>
            <w:tcBorders>
              <w:top w:val="single" w:color="auto" w:sz="4" w:space="0"/>
              <w:left w:val="single" w:color="auto" w:sz="4" w:space="0"/>
              <w:bottom w:val="single" w:color="auto" w:sz="4" w:space="0"/>
              <w:right w:val="single" w:color="auto" w:sz="4" w:space="0"/>
            </w:tcBorders>
            <w:noWrap/>
            <w:vAlign w:val="center"/>
          </w:tcPr>
          <w:p w14:paraId="0DE49523">
            <w:pPr>
              <w:spacing w:after="0" w:line="276"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t>295,723.58</w:t>
            </w:r>
          </w:p>
        </w:tc>
        <w:tc>
          <w:tcPr>
            <w:tcW w:w="1001" w:type="dxa"/>
            <w:tcBorders>
              <w:top w:val="single" w:color="auto" w:sz="4" w:space="0"/>
              <w:left w:val="single" w:color="auto" w:sz="4" w:space="0"/>
              <w:bottom w:val="single" w:color="auto" w:sz="4" w:space="0"/>
              <w:right w:val="single" w:color="auto" w:sz="4" w:space="0"/>
            </w:tcBorders>
            <w:noWrap/>
            <w:vAlign w:val="center"/>
          </w:tcPr>
          <w:p w14:paraId="153A19CA">
            <w:pPr>
              <w:spacing w:after="0" w:line="276"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1134" w:type="dxa"/>
            <w:tcBorders>
              <w:top w:val="single" w:color="auto" w:sz="4" w:space="0"/>
              <w:left w:val="single" w:color="auto" w:sz="4" w:space="0"/>
              <w:bottom w:val="single" w:color="auto" w:sz="4" w:space="0"/>
              <w:right w:val="single" w:color="auto" w:sz="4" w:space="0"/>
            </w:tcBorders>
            <w:noWrap/>
            <w:vAlign w:val="center"/>
          </w:tcPr>
          <w:p w14:paraId="70FC0517">
            <w:pPr>
              <w:spacing w:after="0" w:line="276" w:lineRule="auto"/>
              <w:jc w:val="both"/>
              <w:rPr>
                <w:rFonts w:ascii="Times New Roman" w:hAnsi="Times New Roman" w:eastAsia="Times New Roman" w:cs="Times New Roman"/>
                <w:sz w:val="16"/>
                <w:szCs w:val="16"/>
              </w:rPr>
            </w:pPr>
            <w:r>
              <w:drawing>
                <wp:inline distT="0" distB="0" distL="0" distR="0">
                  <wp:extent cx="902335" cy="393700"/>
                  <wp:effectExtent l="0" t="0" r="0" b="6350"/>
                  <wp:docPr id="11" name="Picture 11" descr="D:\PROJECTS MONITORING\IMG_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PROJECTS MONITORING\IMG_0958.JPG"/>
                          <pic:cNvPicPr>
                            <a:picLocks noChangeAspect="1" noChangeArrowheads="1"/>
                          </pic:cNvPicPr>
                        </pic:nvPicPr>
                        <pic:blipFill>
                          <a:blip r:embed="rId131" cstate="print">
                            <a:extLst>
                              <a:ext uri="{28A0092B-C50C-407E-A947-70E740481C1C}">
                                <a14:useLocalDpi xmlns:a14="http://schemas.microsoft.com/office/drawing/2010/main" val="0"/>
                              </a:ext>
                            </a:extLst>
                          </a:blip>
                          <a:srcRect t="23469" b="11090"/>
                          <a:stretch>
                            <a:fillRect/>
                          </a:stretch>
                        </pic:blipFill>
                        <pic:spPr>
                          <a:xfrm>
                            <a:off x="0" y="0"/>
                            <a:ext cx="906337" cy="395412"/>
                          </a:xfrm>
                          <a:prstGeom prst="rect">
                            <a:avLst/>
                          </a:prstGeom>
                          <a:noFill/>
                          <a:ln>
                            <a:noFill/>
                          </a:ln>
                        </pic:spPr>
                      </pic:pic>
                    </a:graphicData>
                  </a:graphic>
                </wp:inline>
              </w:drawing>
            </w:r>
          </w:p>
        </w:tc>
        <w:tc>
          <w:tcPr>
            <w:tcW w:w="1117" w:type="dxa"/>
            <w:tcBorders>
              <w:top w:val="single" w:color="auto" w:sz="4" w:space="0"/>
              <w:left w:val="single" w:color="auto" w:sz="4" w:space="0"/>
              <w:bottom w:val="single" w:color="auto" w:sz="4" w:space="0"/>
              <w:right w:val="single" w:color="auto" w:sz="4" w:space="0"/>
            </w:tcBorders>
            <w:vAlign w:val="center"/>
          </w:tcPr>
          <w:p w14:paraId="0F5C31BA">
            <w:pPr>
              <w:spacing w:after="0" w:line="276" w:lineRule="auto"/>
              <w:jc w:val="center"/>
              <w:rPr>
                <w:rFonts w:ascii="Times New Roman" w:hAnsi="Times New Roman" w:eastAsia="Times New Roman" w:cs="Times New Roman"/>
                <w:b/>
                <w:sz w:val="16"/>
                <w:szCs w:val="16"/>
              </w:rPr>
            </w:pPr>
            <w:r>
              <w:rPr>
                <w:rFonts w:ascii="Times New Roman" w:hAnsi="Times New Roman" w:eastAsia="Times New Roman" w:cs="Times New Roman"/>
                <w:bCs/>
                <w:sz w:val="16"/>
                <w:szCs w:val="16"/>
              </w:rPr>
              <w:t>On-going</w:t>
            </w:r>
          </w:p>
        </w:tc>
      </w:tr>
    </w:tbl>
    <w:p w14:paraId="62C48BAB">
      <w:pPr>
        <w:pStyle w:val="4"/>
        <w:jc w:val="both"/>
        <w:rPr>
          <w:rFonts w:ascii="Times New Roman" w:hAnsi="Times New Roman" w:cs="Times New Roman"/>
          <w:b/>
          <w:i/>
          <w:color w:val="auto"/>
        </w:rPr>
        <w:sectPr>
          <w:pgSz w:w="16838" w:h="11906" w:orient="landscape"/>
          <w:pgMar w:top="720" w:right="720" w:bottom="720" w:left="720" w:header="720" w:footer="561" w:gutter="0"/>
          <w:cols w:space="720" w:num="1"/>
          <w:docGrid w:linePitch="326" w:charSpace="0"/>
        </w:sectPr>
      </w:pPr>
      <w:bookmarkStart w:id="74" w:name="_Toc222333866"/>
    </w:p>
    <w:p w14:paraId="292F0D0B">
      <w:pPr>
        <w:pStyle w:val="4"/>
        <w:spacing w:after="240" w:line="360" w:lineRule="auto"/>
        <w:jc w:val="both"/>
        <w:rPr>
          <w:rFonts w:ascii="Times New Roman" w:hAnsi="Times New Roman" w:eastAsia="Times New Roman" w:cs="Times New Roman"/>
          <w:b/>
          <w:bCs/>
          <w:i/>
          <w:color w:val="auto"/>
        </w:rPr>
      </w:pPr>
      <w:bookmarkStart w:id="75" w:name="_Toc230260730"/>
      <w:r>
        <w:rPr>
          <w:rFonts w:ascii="Times New Roman" w:hAnsi="Times New Roman" w:cs="Times New Roman"/>
          <w:b/>
          <w:i/>
          <w:color w:val="auto"/>
        </w:rPr>
        <w:t xml:space="preserve">2.2.1 </w:t>
      </w:r>
      <w:r>
        <w:rPr>
          <w:rFonts w:ascii="Times New Roman" w:hAnsi="Times New Roman" w:eastAsia="Times New Roman" w:cs="Times New Roman"/>
          <w:b/>
          <w:bCs/>
          <w:i/>
          <w:color w:val="auto"/>
        </w:rPr>
        <w:t>Analysis of Physical Projects under Implementation as at First Quarter 202</w:t>
      </w:r>
      <w:bookmarkEnd w:id="74"/>
      <w:r>
        <w:rPr>
          <w:rFonts w:ascii="Times New Roman" w:hAnsi="Times New Roman" w:eastAsia="Times New Roman" w:cs="Times New Roman"/>
          <w:b/>
          <w:bCs/>
          <w:i/>
          <w:color w:val="auto"/>
        </w:rPr>
        <w:t>6</w:t>
      </w:r>
      <w:bookmarkEnd w:id="75"/>
    </w:p>
    <w:p w14:paraId="0D14246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Birim North District Assembly continued the implementation of its physical development projects under the 2026 Annual Action Plan and the broader 2026–2029 Medium-Term Development Framework. These projects represent the Assembly’s capital investment programme aimed at expanding infrastructure, improving service delivery, and strengthening socio-economic development across the District. The interventions cut across key sectors including education, health, water and sanitation, security, governance, and local economic development, and are financed mainly from Internally Generated Funds (IGF), the District Assemblies Common Fund (DACF), DACF-RFG, and other government sources.</w:t>
      </w:r>
    </w:p>
    <w:p w14:paraId="58C47EB8">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at the end of the First Quarter of 2026, a total of twenty-five (25) physical projects were at various stages of implementation. These projects include both ongoing developments inherited from previous periods and newly initiated projects under the current planning cycle. The implementation status reflects a mixed level of progress, with some projects fully completed, others at advanced stages of completion, and a number still at early implementation or mobilization stages.</w:t>
      </w:r>
    </w:p>
    <w:p w14:paraId="053E3EC0">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Completed projects during the quarter include key infrastructure such as the Completion of 1No. Health Centre at Akoase, the Construction of a 12-Seater W/C Toilet with mechanized borehole at Amuana Praso, the Construction of a 6-Unit Classroom Block with ancillary facilities at Odontuase, and the Construction of 16-Lockable Stores at Afosu. These completed facilities are fully operational and are already contributing to improved health service delivery, educational access, sanitation, and local economic activities within their respective communities.</w:t>
      </w:r>
    </w:p>
    <w:p w14:paraId="3FFA006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significant proportion of ongoing projects are at advanced stages of completion and are expected to be finalized in subsequent quarters. Notable among these are the Construction of a CHPS Compound at Mpintimpi which is nearing completion, the Construction of 64 Lockable Stores at New Abirem, and the drilling and mechanization of boreholes across multiple communities, all of which have recorded substantial progress. Similarly, several classroom block projects in communities such as Okaikrom, Old Abirim, Kyenkyenku, and Akoase Haya Islamic are progressing steadily, with completion levels ranging from moderate to advanced stages. These interventions are expected to significantly improve access to basic education, potable water, and primary healthcare services upon completion.</w:t>
      </w:r>
    </w:p>
    <w:p w14:paraId="74EF23AC">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addition, a number of new projects initiated during the first quarter are currently at early stages of execution. These include the Construction of CHPS Compounds at Nwinso, Amenam, and Odontuase, the Construction of educational infrastructure such as classroom blocks at selected communities, and the Construction of an Office Complex to accommodate key security agencies in the District. These projects are currently undergoing mobilization and early construction activities and are expected to progress steadily in the subsequent quarters.</w:t>
      </w:r>
    </w:p>
    <w:p w14:paraId="153861AB">
      <w:pPr>
        <w:spacing w:line="360" w:lineRule="auto"/>
        <w:jc w:val="both"/>
        <w:rPr>
          <w:rFonts w:ascii="Times New Roman" w:hAnsi="Times New Roman" w:eastAsia="Times New Roman" w:cs="Times New Roman"/>
          <w:sz w:val="24"/>
          <w:szCs w:val="24"/>
        </w:rPr>
      </w:pPr>
      <w:r>
        <w:drawing>
          <wp:anchor distT="0" distB="0" distL="114300" distR="114300" simplePos="0" relativeHeight="251678720" behindDoc="0" locked="0" layoutInCell="1" allowOverlap="1">
            <wp:simplePos x="0" y="0"/>
            <wp:positionH relativeFrom="margin">
              <wp:posOffset>3810</wp:posOffset>
            </wp:positionH>
            <wp:positionV relativeFrom="paragraph">
              <wp:posOffset>831215</wp:posOffset>
            </wp:positionV>
            <wp:extent cx="6464935" cy="3333750"/>
            <wp:effectExtent l="0" t="0" r="12065" b="0"/>
            <wp:wrapTight wrapText="bothSides">
              <wp:wrapPolygon>
                <wp:start x="0" y="0"/>
                <wp:lineTo x="0" y="21477"/>
                <wp:lineTo x="21577" y="21477"/>
                <wp:lineTo x="21577" y="0"/>
                <wp:lineTo x="0" y="0"/>
              </wp:wrapPolygon>
            </wp:wrapTight>
            <wp:docPr id="6276098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anchor>
        </w:drawing>
      </w:r>
      <w:r>
        <mc:AlternateContent>
          <mc:Choice Requires="wps">
            <w:drawing>
              <wp:anchor distT="0" distB="0" distL="114300" distR="114300" simplePos="0" relativeHeight="251679744" behindDoc="1" locked="0" layoutInCell="1" allowOverlap="1">
                <wp:simplePos x="0" y="0"/>
                <wp:positionH relativeFrom="margin">
                  <wp:align>right</wp:align>
                </wp:positionH>
                <wp:positionV relativeFrom="paragraph">
                  <wp:posOffset>55880</wp:posOffset>
                </wp:positionV>
                <wp:extent cx="6870700" cy="260350"/>
                <wp:effectExtent l="0" t="0" r="6350" b="6350"/>
                <wp:wrapTight wrapText="bothSides">
                  <wp:wrapPolygon>
                    <wp:start x="0" y="0"/>
                    <wp:lineTo x="0" y="20546"/>
                    <wp:lineTo x="21560" y="20546"/>
                    <wp:lineTo x="21560" y="0"/>
                    <wp:lineTo x="0" y="0"/>
                  </wp:wrapPolygon>
                </wp:wrapTight>
                <wp:docPr id="1194934402" name="Text Box 1"/>
                <wp:cNvGraphicFramePr/>
                <a:graphic xmlns:a="http://schemas.openxmlformats.org/drawingml/2006/main">
                  <a:graphicData uri="http://schemas.microsoft.com/office/word/2010/wordprocessingShape">
                    <wps:wsp>
                      <wps:cNvSpPr txBox="1"/>
                      <wps:spPr>
                        <a:xfrm>
                          <a:off x="0" y="0"/>
                          <a:ext cx="6870700" cy="260350"/>
                        </a:xfrm>
                        <a:prstGeom prst="rect">
                          <a:avLst/>
                        </a:prstGeom>
                        <a:solidFill>
                          <a:prstClr val="white"/>
                        </a:solidFill>
                        <a:ln>
                          <a:noFill/>
                        </a:ln>
                      </wps:spPr>
                      <wps:txbx>
                        <w:txbxContent>
                          <w:p w14:paraId="4CCA0655">
                            <w:pPr>
                              <w:pStyle w:val="8"/>
                              <w:rPr>
                                <w:rFonts w:eastAsia="SimSun"/>
                                <w:sz w:val="22"/>
                                <w:szCs w:val="22"/>
                              </w:rPr>
                            </w:pPr>
                            <w:bookmarkStart w:id="141" w:name="_Toc229970893"/>
                            <w:r>
                              <w:t xml:space="preserve">Figure </w:t>
                            </w:r>
                            <w:r>
                              <w:fldChar w:fldCharType="begin"/>
                            </w:r>
                            <w:r>
                              <w:instrText xml:space="preserve"> SEQ Figure \* ARABIC </w:instrText>
                            </w:r>
                            <w:r>
                              <w:fldChar w:fldCharType="separate"/>
                            </w:r>
                            <w:r>
                              <w:t>25</w:t>
                            </w:r>
                            <w:r>
                              <w:fldChar w:fldCharType="end"/>
                            </w:r>
                            <w:r>
                              <w:t>: STATUS OF IMPLEMENTATION OF PHYSICAL PROJECTS</w:t>
                            </w:r>
                            <w:bookmarkEnd w:id="141"/>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 Box 1" o:spid="_x0000_s1026" o:spt="202" type="#_x0000_t202" style="position:absolute;left:0pt;margin-top:4.4pt;height:20.5pt;width:541pt;mso-position-horizontal:right;mso-position-horizontal-relative:margin;mso-wrap-distance-left:9pt;mso-wrap-distance-right:9pt;z-index:-251636736;mso-width-relative:page;mso-height-relative:page;" fillcolor="#FFFFFF" filled="t" stroked="f" coordsize="21600,21600" wrapcoords="0 0 0 20546 21560 20546 21560 0 0 0" o:gfxdata="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IASf9UAAAAGAQAADwAAAAAAAAABACAAAAAiAAAAZHJzL2Rvd25yZXYu&#10;eG1sUEsBAhQAFAAAAAgAh07iQFMiY1c3AgAAfQQAAA4AAAAAAAAAAQAgAAAAJAEAAGRycy9lMm9E&#10;b2MueG1sUEsFBgAAAAAGAAYAWQEAAM0FAAAAAA==&#10;">
                <v:fill on="t" focussize="0,0"/>
                <v:stroke on="f"/>
                <v:imagedata o:title=""/>
                <o:lock v:ext="edit" aspectratio="f"/>
                <v:textbox inset="0mm,0mm,0mm,0mm">
                  <w:txbxContent>
                    <w:p w14:paraId="4CCA0655">
                      <w:pPr>
                        <w:pStyle w:val="8"/>
                        <w:rPr>
                          <w:rFonts w:eastAsia="SimSun"/>
                          <w:sz w:val="22"/>
                          <w:szCs w:val="22"/>
                        </w:rPr>
                      </w:pPr>
                      <w:bookmarkStart w:id="141" w:name="_Toc229970893"/>
                      <w:r>
                        <w:t xml:space="preserve">Figure </w:t>
                      </w:r>
                      <w:r>
                        <w:fldChar w:fldCharType="begin"/>
                      </w:r>
                      <w:r>
                        <w:instrText xml:space="preserve"> SEQ Figure \* ARABIC </w:instrText>
                      </w:r>
                      <w:r>
                        <w:fldChar w:fldCharType="separate"/>
                      </w:r>
                      <w:r>
                        <w:t>25</w:t>
                      </w:r>
                      <w:r>
                        <w:fldChar w:fldCharType="end"/>
                      </w:r>
                      <w:r>
                        <w:t>: STATUS OF IMPLEMENTATION OF PHYSICAL PROJECTS</w:t>
                      </w:r>
                      <w:bookmarkEnd w:id="141"/>
                    </w:p>
                  </w:txbxContent>
                </v:textbox>
                <w10:wrap type="tight"/>
              </v:shape>
            </w:pict>
          </mc:Fallback>
        </mc:AlternateContent>
      </w:r>
      <w:r>
        <w:rPr>
          <w:rFonts w:ascii="Times New Roman" w:hAnsi="Times New Roman" w:eastAsia="Times New Roman" w:cs="Times New Roman"/>
          <w:sz w:val="24"/>
          <w:szCs w:val="24"/>
        </w:rPr>
        <w:t>The overall implementation performance for the First Quarter of 2026 indicates a positive trend, with several projects either completed or nearing completion, while others are progressing according to contract schedules. The distribution of projects across sectors demonstrates the Assembly’s continued commitment to balanced development and equitable access to social and economic infrastructure.</w:t>
      </w:r>
    </w:p>
    <w:p w14:paraId="2F078B0E">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However, the implementation process continues to face challenges such as funding release delays, contractor mobilization constraints, and logistical limitations, which occasionally affect project timelines. Strengthening contract management, improving monitoring systems, and ensuring timely disbursement of funds will be critical to sustaining implementation momentum.</w:t>
      </w:r>
    </w:p>
    <w:p w14:paraId="58AB8C19">
      <w:pPr>
        <w:spacing w:line="360" w:lineRule="auto"/>
        <w:jc w:val="both"/>
        <w:rPr>
          <w:rFonts w:ascii="Times New Roman" w:hAnsi="Times New Roman" w:cs="Times New Roman"/>
        </w:rPr>
      </w:pPr>
      <w:r>
        <w:rPr>
          <w:rFonts w:ascii="Times New Roman" w:hAnsi="Times New Roman" w:eastAsia="Times New Roman" w:cs="Times New Roman"/>
          <w:sz w:val="24"/>
          <w:szCs w:val="24"/>
        </w:rPr>
        <w:t>The Quarter of 2026 reflects steady progress in the implementation of physical development projects within the Birim North District Assembly. The combination of completed, ongoing, and newly initiated projects demonstrates the Assembly’s commitment to infrastructure development and service delivery improvement. Continued coordination among stakeholders will be essential to ensure timely completion and maximize the developmental impact of these investments across the District.</w:t>
      </w:r>
      <w:r>
        <w:rPr>
          <w:rFonts w:ascii="Times New Roman" w:hAnsi="Times New Roman" w:cs="Times New Roman"/>
        </w:rPr>
        <w:t xml:space="preserve"> </w:t>
      </w:r>
    </w:p>
    <w:p w14:paraId="7B9FC025">
      <w:pPr>
        <w:pStyle w:val="3"/>
        <w:spacing w:after="240"/>
        <w:rPr>
          <w:rFonts w:ascii="Times New Roman" w:hAnsi="Times New Roman" w:eastAsia="Times New Roman" w:cs="Times New Roman"/>
          <w:b/>
          <w:bCs/>
          <w:color w:val="auto"/>
          <w:sz w:val="24"/>
          <w:szCs w:val="24"/>
        </w:rPr>
      </w:pPr>
      <w:bookmarkStart w:id="76" w:name="_Toc222333867"/>
      <w:bookmarkStart w:id="77" w:name="_Toc230260731"/>
      <w:r>
        <w:rPr>
          <w:rFonts w:ascii="Times New Roman" w:hAnsi="Times New Roman" w:eastAsia="Times New Roman" w:cs="Times New Roman"/>
          <w:b/>
          <w:bCs/>
          <w:color w:val="auto"/>
          <w:sz w:val="24"/>
          <w:szCs w:val="24"/>
        </w:rPr>
        <w:t>2.3 Update on Disbursements from Funding Sources for First Quarter 202</w:t>
      </w:r>
      <w:bookmarkEnd w:id="76"/>
      <w:r>
        <w:rPr>
          <w:rFonts w:ascii="Times New Roman" w:hAnsi="Times New Roman" w:eastAsia="Times New Roman" w:cs="Times New Roman"/>
          <w:b/>
          <w:bCs/>
          <w:color w:val="auto"/>
          <w:sz w:val="24"/>
          <w:szCs w:val="24"/>
        </w:rPr>
        <w:t>6</w:t>
      </w:r>
      <w:bookmarkEnd w:id="77"/>
      <w:r>
        <w:rPr>
          <w:rFonts w:ascii="Times New Roman" w:hAnsi="Times New Roman" w:eastAsia="Times New Roman" w:cs="Times New Roman"/>
          <w:b/>
          <w:bCs/>
          <w:color w:val="auto"/>
          <w:sz w:val="24"/>
          <w:szCs w:val="24"/>
        </w:rPr>
        <w:t xml:space="preserve"> </w:t>
      </w:r>
    </w:p>
    <w:p w14:paraId="3A9B4041">
      <w:pPr>
        <w:spacing w:line="360" w:lineRule="auto"/>
        <w:jc w:val="both"/>
        <w:rPr>
          <w:rFonts w:ascii="Times New Roman" w:hAnsi="Times New Roman" w:cs="Times New Roman"/>
          <w:sz w:val="24"/>
          <w:szCs w:val="24"/>
        </w:rPr>
      </w:pPr>
      <w:r>
        <w:rPr>
          <w:rFonts w:ascii="Times New Roman" w:hAnsi="Times New Roman" w:cs="Times New Roman"/>
          <w:sz w:val="24"/>
          <w:szCs w:val="24"/>
        </w:rPr>
        <w:t>The Birim North District Assembly continues to finance its development programmes and administrative activities through a combination of internally generated revenue and external funding support. These funding sources include the Internally Generated Fund (IGF), Government of Ghana (GoG) transfers, the District Assemblies’ Common Fund (DACF), DACF–Responsive Factor Grant (DACF-RFG), Mineral Royalties, MP’s Common Fund, Persons with Disabilities Common Fund (PWDs CF), MSHAP, LEAP, and other donor or government-supported interventions.</w:t>
      </w:r>
    </w:p>
    <w:p w14:paraId="70FCDE58">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Quarter of 2026 marked the commencement of the implementation of the Assembly’s 2026–2029 Medium-Term Development Plan (MTDP). As such, the financial inflows received during the quarter were critical in supporting the rollout of planned programmes, projects, and activities outlined under the new development framework. The funds received were utilized to support interventions aimed at improving socio-economic development, infrastructure delivery, social protection, health services, administrative efficiency, and overall service delivery across the district.</w:t>
      </w:r>
    </w:p>
    <w:p w14:paraId="2FEAC2EA">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quarter under review, the Assembly received inflows from some of the identified funding sources to support the implementation of approved programmes and activities under the Annual Action Plan and Composite Budget. The major sources of inflows during the period were Internally Generated Funds (IGF), Government of Ghana Salary transfers, and Mineral Royalties. IGF recorded the highest contribution during the quarter, reflecting improved local revenue mobilization efforts and increased commitment toward strengthening the Assembly’s fiscal capacity. Government salary transfers also remained a stable source of funding for administrative and personnel-related expenditures, while Mineral Royalties continued to support development interventions due to sustained mining activities within the district.</w:t>
      </w:r>
    </w:p>
    <w:p w14:paraId="5C44690B">
      <w:pPr>
        <w:spacing w:line="360" w:lineRule="auto"/>
        <w:jc w:val="both"/>
        <w:rPr>
          <w:rFonts w:ascii="Times New Roman" w:hAnsi="Times New Roman" w:cs="Times New Roman"/>
          <w:sz w:val="24"/>
          <w:szCs w:val="24"/>
        </w:rPr>
      </w:pPr>
      <w:r>
        <w:rPr>
          <w:rFonts w:ascii="Times New Roman" w:hAnsi="Times New Roman" w:cs="Times New Roman"/>
          <w:sz w:val="24"/>
          <w:szCs w:val="24"/>
        </w:rPr>
        <w:t>Additional inflows were received from the MP’s Common Fund, MSHAP, and LEAP interventions, which supported constituency development projects and social intervention programmes aimed at improving the welfare of vulnerable groups within the district. However, major statutory funding sources such as the District Assemblies’ Common Fund (DACF), DACF-RFG, GOG Transfers, PWDs Common Fund, MP-SIP, and other grants did not record any disbursements during the quarter under review. The absence of these inflows, particularly DACF and DACF-RFG allocations, may affect the timely implementation of some planned programmes and capital projects if the delays persist into subsequent quarters.</w:t>
      </w:r>
    </w:p>
    <w:p w14:paraId="477EA343">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first-quarter funding inflows provided the Assembly with the financial foundation required to initiate the implementation of the 2026–2029 Medium-Term Development Plan. The strong performance of IGF during the quarter is particularly encouraging, as it demonstrates the Assembly’s growing efforts toward improving fiscal independence and strengthening local revenue generation. Nonetheless, the continued dependence on external transfers emphasizes the need for timely release of statutory funds and the diversification of revenue sources to ensure sustainable financing of development programmes throughout the plan period.</w:t>
      </w:r>
    </w:p>
    <w:p w14:paraId="604A1A21">
      <w:pPr>
        <w:spacing w:line="360" w:lineRule="auto"/>
        <w:jc w:val="both"/>
        <w:rPr>
          <w:rFonts w:ascii="Times New Roman" w:hAnsi="Times New Roman" w:cs="Times New Roman"/>
          <w:sz w:val="24"/>
          <w:szCs w:val="24"/>
        </w:rPr>
      </w:pPr>
      <w:r>
        <w:rPr>
          <w:rFonts w:ascii="Times New Roman" w:hAnsi="Times New Roman" w:cs="Times New Roman"/>
          <w:sz w:val="24"/>
          <w:szCs w:val="24"/>
        </w:rPr>
        <w:t>Details of the various funding sources and their corresponding receipts during the first quarter of 2026 are presented in Table 2.3. The information provides insight into the Assembly’s financial position during the reporting period and supports transparency, accountability, effective budget implementation, and informed decision-making in the management of public resources.</w:t>
      </w:r>
    </w:p>
    <w:p w14:paraId="15D94732">
      <w:pPr>
        <w:spacing w:line="360" w:lineRule="auto"/>
        <w:jc w:val="both"/>
        <w:rPr>
          <w:rFonts w:ascii="Times New Roman" w:hAnsi="Times New Roman" w:cs="Times New Roman"/>
          <w:vanish/>
          <w:sz w:val="24"/>
          <w:szCs w:val="24"/>
        </w:rPr>
      </w:pPr>
      <w:r>
        <w:rPr>
          <w:rFonts w:ascii="Times New Roman" w:hAnsi="Times New Roman" w:cs="Times New Roman"/>
          <w:vanish/>
          <w:sz w:val="24"/>
          <w:szCs w:val="24"/>
        </w:rPr>
        <w:t>Top of Form</w:t>
      </w:r>
    </w:p>
    <w:p w14:paraId="4B8D0F85">
      <w:pPr>
        <w:spacing w:line="360" w:lineRule="auto"/>
        <w:jc w:val="both"/>
        <w:rPr>
          <w:rFonts w:ascii="Times New Roman" w:hAnsi="Times New Roman" w:cs="Times New Roman"/>
          <w:vanish/>
          <w:sz w:val="24"/>
          <w:szCs w:val="24"/>
        </w:rPr>
      </w:pPr>
      <w:r>
        <w:rPr>
          <w:rFonts w:ascii="Times New Roman" w:hAnsi="Times New Roman" w:cs="Times New Roman"/>
          <w:vanish/>
          <w:sz w:val="24"/>
          <w:szCs w:val="24"/>
        </w:rPr>
        <w:t>Bottom of Form</w:t>
      </w:r>
    </w:p>
    <w:p w14:paraId="65B425EA">
      <w:pPr>
        <w:pStyle w:val="8"/>
        <w:keepNext/>
        <w:rPr>
          <w:color w:val="auto"/>
        </w:rPr>
      </w:pPr>
      <w:bookmarkStart w:id="78" w:name="_Toc229970431"/>
      <w:r>
        <w:rPr>
          <w:color w:val="auto"/>
        </w:rPr>
        <w:t xml:space="preserve">Table </w:t>
      </w:r>
      <w:r>
        <w:rPr>
          <w:color w:val="auto"/>
        </w:rPr>
        <w:fldChar w:fldCharType="begin"/>
      </w:r>
      <w:r>
        <w:rPr>
          <w:color w:val="auto"/>
        </w:rPr>
        <w:instrText xml:space="preserve"> SEQ Table \* ARABIC </w:instrText>
      </w:r>
      <w:r>
        <w:rPr>
          <w:color w:val="auto"/>
        </w:rPr>
        <w:fldChar w:fldCharType="separate"/>
      </w:r>
      <w:r>
        <w:rPr>
          <w:color w:val="auto"/>
        </w:rPr>
        <w:t>5</w:t>
      </w:r>
      <w:r>
        <w:rPr>
          <w:color w:val="auto"/>
        </w:rPr>
        <w:fldChar w:fldCharType="end"/>
      </w:r>
      <w:r>
        <w:rPr>
          <w:color w:val="auto"/>
        </w:rPr>
        <w:t xml:space="preserve">: </w:t>
      </w:r>
      <w:r>
        <w:rPr>
          <w:b/>
          <w:bCs/>
          <w:color w:val="auto"/>
          <w:sz w:val="20"/>
          <w:szCs w:val="20"/>
        </w:rPr>
        <w:t>Update on Funding Source for First Quarter 2026</w:t>
      </w:r>
      <w:bookmarkEnd w:id="78"/>
    </w:p>
    <w:tbl>
      <w:tblPr>
        <w:tblStyle w:val="6"/>
        <w:tblW w:w="11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5"/>
        <w:gridCol w:w="1620"/>
        <w:gridCol w:w="1620"/>
        <w:gridCol w:w="1530"/>
        <w:gridCol w:w="1620"/>
        <w:gridCol w:w="1890"/>
      </w:tblGrid>
      <w:tr w14:paraId="625D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785" w:type="dxa"/>
            <w:vMerge w:val="restart"/>
            <w:tcBorders>
              <w:bottom w:val="single" w:color="auto" w:sz="4" w:space="0"/>
            </w:tcBorders>
            <w:shd w:val="clear" w:color="auto" w:fill="FBE4D5"/>
            <w:vAlign w:val="center"/>
          </w:tcPr>
          <w:p w14:paraId="7DB83A15">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UPDATE ON RECEIPT</w:t>
            </w:r>
          </w:p>
        </w:tc>
        <w:tc>
          <w:tcPr>
            <w:tcW w:w="1620" w:type="dxa"/>
            <w:vMerge w:val="restart"/>
            <w:tcBorders>
              <w:bottom w:val="single" w:color="auto" w:sz="4" w:space="0"/>
            </w:tcBorders>
            <w:shd w:val="clear" w:color="auto" w:fill="FBE4D5"/>
            <w:vAlign w:val="center"/>
          </w:tcPr>
          <w:p w14:paraId="1F993DFA">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BASELINE 2024</w:t>
            </w:r>
          </w:p>
        </w:tc>
        <w:tc>
          <w:tcPr>
            <w:tcW w:w="1620" w:type="dxa"/>
            <w:vMerge w:val="restart"/>
            <w:tcBorders>
              <w:bottom w:val="single" w:color="auto" w:sz="4" w:space="0"/>
            </w:tcBorders>
            <w:shd w:val="clear" w:color="auto" w:fill="FBE4D5"/>
            <w:vAlign w:val="center"/>
          </w:tcPr>
          <w:p w14:paraId="54EB6D85">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TARGET 2025</w:t>
            </w:r>
          </w:p>
        </w:tc>
        <w:tc>
          <w:tcPr>
            <w:tcW w:w="1530" w:type="dxa"/>
            <w:vMerge w:val="restart"/>
            <w:tcBorders>
              <w:bottom w:val="single" w:color="auto" w:sz="4" w:space="0"/>
            </w:tcBorders>
            <w:shd w:val="clear" w:color="auto" w:fill="FBE4D5"/>
            <w:vAlign w:val="center"/>
          </w:tcPr>
          <w:p w14:paraId="66D56F04">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ACTUAL 2025</w:t>
            </w:r>
          </w:p>
        </w:tc>
        <w:tc>
          <w:tcPr>
            <w:tcW w:w="1620" w:type="dxa"/>
            <w:vMerge w:val="restart"/>
            <w:tcBorders>
              <w:bottom w:val="single" w:color="auto" w:sz="4" w:space="0"/>
            </w:tcBorders>
            <w:shd w:val="clear" w:color="auto" w:fill="FBE4D5"/>
            <w:vAlign w:val="center"/>
          </w:tcPr>
          <w:p w14:paraId="2510D548">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TARGET 2026</w:t>
            </w:r>
          </w:p>
        </w:tc>
        <w:tc>
          <w:tcPr>
            <w:tcW w:w="1890" w:type="dxa"/>
            <w:tcBorders>
              <w:bottom w:val="single" w:color="auto" w:sz="4" w:space="0"/>
            </w:tcBorders>
            <w:shd w:val="clear" w:color="auto" w:fill="FBE4D5"/>
            <w:vAlign w:val="center"/>
          </w:tcPr>
          <w:p w14:paraId="11D2E30E">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QUARTERLY PERFORMANCE</w:t>
            </w:r>
          </w:p>
        </w:tc>
      </w:tr>
      <w:tr w14:paraId="313C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785" w:type="dxa"/>
            <w:vMerge w:val="continue"/>
            <w:shd w:val="clear" w:color="auto" w:fill="FBE4D5"/>
            <w:vAlign w:val="center"/>
          </w:tcPr>
          <w:p w14:paraId="31DB5B9F">
            <w:pPr>
              <w:spacing w:after="0" w:line="240" w:lineRule="auto"/>
              <w:jc w:val="center"/>
              <w:rPr>
                <w:rFonts w:ascii="Times New Roman" w:hAnsi="Times New Roman" w:eastAsia="Calibri" w:cs="Times New Roman"/>
                <w:b/>
                <w:bCs/>
                <w:sz w:val="20"/>
                <w:szCs w:val="20"/>
              </w:rPr>
            </w:pPr>
          </w:p>
        </w:tc>
        <w:tc>
          <w:tcPr>
            <w:tcW w:w="1620" w:type="dxa"/>
            <w:vMerge w:val="continue"/>
            <w:shd w:val="clear" w:color="auto" w:fill="FBE4D5"/>
            <w:vAlign w:val="center"/>
          </w:tcPr>
          <w:p w14:paraId="4756A0BA">
            <w:pPr>
              <w:spacing w:after="0" w:line="240" w:lineRule="auto"/>
              <w:jc w:val="center"/>
              <w:rPr>
                <w:rFonts w:ascii="Times New Roman" w:hAnsi="Times New Roman" w:eastAsia="Calibri" w:cs="Times New Roman"/>
                <w:b/>
                <w:bCs/>
                <w:sz w:val="20"/>
                <w:szCs w:val="20"/>
              </w:rPr>
            </w:pPr>
          </w:p>
        </w:tc>
        <w:tc>
          <w:tcPr>
            <w:tcW w:w="1620" w:type="dxa"/>
            <w:vMerge w:val="continue"/>
            <w:shd w:val="clear" w:color="auto" w:fill="FBE4D5"/>
            <w:vAlign w:val="center"/>
          </w:tcPr>
          <w:p w14:paraId="6160E1BA">
            <w:pPr>
              <w:spacing w:after="0" w:line="240" w:lineRule="auto"/>
              <w:jc w:val="center"/>
              <w:rPr>
                <w:rFonts w:ascii="Times New Roman" w:hAnsi="Times New Roman" w:eastAsia="Calibri" w:cs="Times New Roman"/>
                <w:b/>
                <w:bCs/>
                <w:sz w:val="20"/>
                <w:szCs w:val="20"/>
              </w:rPr>
            </w:pPr>
          </w:p>
        </w:tc>
        <w:tc>
          <w:tcPr>
            <w:tcW w:w="1530" w:type="dxa"/>
            <w:vMerge w:val="continue"/>
            <w:shd w:val="clear" w:color="auto" w:fill="FBE4D5"/>
            <w:vAlign w:val="center"/>
          </w:tcPr>
          <w:p w14:paraId="5CC07476">
            <w:pPr>
              <w:spacing w:after="0" w:line="240" w:lineRule="auto"/>
              <w:jc w:val="center"/>
              <w:rPr>
                <w:rFonts w:ascii="Times New Roman" w:hAnsi="Times New Roman" w:eastAsia="Calibri" w:cs="Times New Roman"/>
                <w:b/>
                <w:bCs/>
                <w:sz w:val="20"/>
                <w:szCs w:val="20"/>
              </w:rPr>
            </w:pPr>
          </w:p>
        </w:tc>
        <w:tc>
          <w:tcPr>
            <w:tcW w:w="1620" w:type="dxa"/>
            <w:vMerge w:val="continue"/>
            <w:shd w:val="clear" w:color="auto" w:fill="FBE4D5"/>
            <w:vAlign w:val="center"/>
          </w:tcPr>
          <w:p w14:paraId="5E40AF2D">
            <w:pPr>
              <w:spacing w:after="0" w:line="240" w:lineRule="auto"/>
              <w:jc w:val="center"/>
              <w:rPr>
                <w:rFonts w:ascii="Times New Roman" w:hAnsi="Times New Roman" w:eastAsia="Calibri" w:cs="Times New Roman"/>
                <w:b/>
                <w:bCs/>
                <w:sz w:val="20"/>
                <w:szCs w:val="20"/>
              </w:rPr>
            </w:pPr>
          </w:p>
        </w:tc>
        <w:tc>
          <w:tcPr>
            <w:tcW w:w="1890" w:type="dxa"/>
            <w:shd w:val="clear" w:color="auto" w:fill="FBE4D5"/>
            <w:vAlign w:val="center"/>
          </w:tcPr>
          <w:p w14:paraId="728D4928">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1</w:t>
            </w:r>
            <w:r>
              <w:rPr>
                <w:rFonts w:ascii="Times New Roman" w:hAnsi="Times New Roman" w:eastAsia="Calibri" w:cs="Times New Roman"/>
                <w:b/>
                <w:bCs/>
                <w:sz w:val="20"/>
                <w:szCs w:val="20"/>
                <w:vertAlign w:val="superscript"/>
              </w:rPr>
              <w:t>ST</w:t>
            </w:r>
            <w:r>
              <w:rPr>
                <w:rFonts w:ascii="Times New Roman" w:hAnsi="Times New Roman" w:eastAsia="Calibri" w:cs="Times New Roman"/>
                <w:b/>
                <w:bCs/>
                <w:sz w:val="20"/>
                <w:szCs w:val="20"/>
              </w:rPr>
              <w:t xml:space="preserve"> QUARTER</w:t>
            </w:r>
          </w:p>
        </w:tc>
      </w:tr>
      <w:tr w14:paraId="7D85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766359F9">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GOG SALARIES</w:t>
            </w:r>
          </w:p>
        </w:tc>
        <w:tc>
          <w:tcPr>
            <w:tcW w:w="1620" w:type="dxa"/>
            <w:shd w:val="clear" w:color="auto" w:fill="FFFFFF"/>
            <w:vAlign w:val="center"/>
          </w:tcPr>
          <w:p w14:paraId="5C7FA46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6,915,429.10</w:t>
            </w:r>
          </w:p>
        </w:tc>
        <w:tc>
          <w:tcPr>
            <w:tcW w:w="1620" w:type="dxa"/>
            <w:shd w:val="clear" w:color="auto" w:fill="FFFFFF"/>
            <w:vAlign w:val="center"/>
          </w:tcPr>
          <w:p w14:paraId="27D2386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9,029,781.00</w:t>
            </w:r>
          </w:p>
        </w:tc>
        <w:tc>
          <w:tcPr>
            <w:tcW w:w="1530" w:type="dxa"/>
            <w:shd w:val="clear" w:color="auto" w:fill="FFFFFF"/>
            <w:vAlign w:val="center"/>
          </w:tcPr>
          <w:p w14:paraId="46CB1B2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7,369,027.44</w:t>
            </w:r>
          </w:p>
        </w:tc>
        <w:tc>
          <w:tcPr>
            <w:tcW w:w="1620" w:type="dxa"/>
            <w:shd w:val="clear" w:color="auto" w:fill="FFFFFF"/>
          </w:tcPr>
          <w:p w14:paraId="78DE00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11,029,789.00</w:t>
            </w:r>
          </w:p>
        </w:tc>
        <w:tc>
          <w:tcPr>
            <w:tcW w:w="1890" w:type="dxa"/>
            <w:shd w:val="clear" w:color="auto" w:fill="FFFFFF"/>
          </w:tcPr>
          <w:p w14:paraId="77BBDFC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2,757,445.26</w:t>
            </w:r>
          </w:p>
        </w:tc>
      </w:tr>
      <w:tr w14:paraId="10D2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0C1C4904">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GOG TRANSFERS</w:t>
            </w:r>
          </w:p>
        </w:tc>
        <w:tc>
          <w:tcPr>
            <w:tcW w:w="1620" w:type="dxa"/>
            <w:shd w:val="clear" w:color="auto" w:fill="FFFFFF"/>
            <w:vAlign w:val="center"/>
          </w:tcPr>
          <w:p w14:paraId="3429CFD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3,058,142.13</w:t>
            </w:r>
          </w:p>
        </w:tc>
        <w:tc>
          <w:tcPr>
            <w:tcW w:w="1620" w:type="dxa"/>
            <w:shd w:val="clear" w:color="auto" w:fill="FFFFFF"/>
            <w:vAlign w:val="center"/>
          </w:tcPr>
          <w:p w14:paraId="4316ECC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101,500.00</w:t>
            </w:r>
          </w:p>
        </w:tc>
        <w:tc>
          <w:tcPr>
            <w:tcW w:w="1530" w:type="dxa"/>
            <w:shd w:val="clear" w:color="auto" w:fill="FFFFFF"/>
            <w:vAlign w:val="center"/>
          </w:tcPr>
          <w:p w14:paraId="618581CD">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31,390.48</w:t>
            </w:r>
          </w:p>
        </w:tc>
        <w:tc>
          <w:tcPr>
            <w:tcW w:w="1620" w:type="dxa"/>
            <w:shd w:val="clear" w:color="auto" w:fill="FFFFFF"/>
          </w:tcPr>
          <w:p w14:paraId="59D17F9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56,205.00</w:t>
            </w:r>
          </w:p>
        </w:tc>
        <w:tc>
          <w:tcPr>
            <w:tcW w:w="1890" w:type="dxa"/>
            <w:shd w:val="clear" w:color="auto" w:fill="FFFFFF"/>
          </w:tcPr>
          <w:p w14:paraId="5517E5A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r>
      <w:tr w14:paraId="55D5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00DAE42B">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IGF</w:t>
            </w:r>
          </w:p>
        </w:tc>
        <w:tc>
          <w:tcPr>
            <w:tcW w:w="1620" w:type="dxa"/>
            <w:vAlign w:val="center"/>
          </w:tcPr>
          <w:p w14:paraId="686FEE1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9,137,591.38</w:t>
            </w:r>
          </w:p>
        </w:tc>
        <w:tc>
          <w:tcPr>
            <w:tcW w:w="1620" w:type="dxa"/>
            <w:vAlign w:val="center"/>
          </w:tcPr>
          <w:p w14:paraId="290D78C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8,822,567.42</w:t>
            </w:r>
          </w:p>
        </w:tc>
        <w:tc>
          <w:tcPr>
            <w:tcW w:w="1530" w:type="dxa"/>
            <w:vAlign w:val="center"/>
          </w:tcPr>
          <w:p w14:paraId="04DED40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4,835,892.97</w:t>
            </w:r>
          </w:p>
        </w:tc>
        <w:tc>
          <w:tcPr>
            <w:tcW w:w="1620" w:type="dxa"/>
          </w:tcPr>
          <w:p w14:paraId="73795F7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4,149,419.78</w:t>
            </w:r>
          </w:p>
        </w:tc>
        <w:tc>
          <w:tcPr>
            <w:tcW w:w="1890" w:type="dxa"/>
          </w:tcPr>
          <w:p w14:paraId="1251592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3,536,049.63</w:t>
            </w:r>
          </w:p>
        </w:tc>
      </w:tr>
      <w:tr w14:paraId="49B2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785CEC4E">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MINERAL ROYALTIES</w:t>
            </w:r>
          </w:p>
        </w:tc>
        <w:tc>
          <w:tcPr>
            <w:tcW w:w="1620" w:type="dxa"/>
            <w:vAlign w:val="center"/>
          </w:tcPr>
          <w:p w14:paraId="1FE26E57">
            <w:pPr>
              <w:tabs>
                <w:tab w:val="left" w:pos="88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4,802,637.53</w:t>
            </w:r>
          </w:p>
        </w:tc>
        <w:tc>
          <w:tcPr>
            <w:tcW w:w="1620" w:type="dxa"/>
            <w:vAlign w:val="center"/>
          </w:tcPr>
          <w:p w14:paraId="4CAFB8C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1,000,037.38</w:t>
            </w:r>
          </w:p>
        </w:tc>
        <w:tc>
          <w:tcPr>
            <w:tcW w:w="1530" w:type="dxa"/>
            <w:vAlign w:val="center"/>
          </w:tcPr>
          <w:p w14:paraId="0C50747A">
            <w:pPr>
              <w:tabs>
                <w:tab w:val="left" w:pos="884"/>
              </w:tabs>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1,014,523.23</w:t>
            </w:r>
          </w:p>
        </w:tc>
        <w:tc>
          <w:tcPr>
            <w:tcW w:w="1620" w:type="dxa"/>
          </w:tcPr>
          <w:p w14:paraId="0591190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5,773,547.46</w:t>
            </w:r>
          </w:p>
        </w:tc>
        <w:tc>
          <w:tcPr>
            <w:tcW w:w="1890" w:type="dxa"/>
          </w:tcPr>
          <w:p w14:paraId="2A7AF26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1,192,546.26</w:t>
            </w:r>
          </w:p>
        </w:tc>
      </w:tr>
      <w:tr w14:paraId="1EFD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6F2A0855">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DACF</w:t>
            </w:r>
          </w:p>
        </w:tc>
        <w:tc>
          <w:tcPr>
            <w:tcW w:w="1620" w:type="dxa"/>
            <w:vAlign w:val="center"/>
          </w:tcPr>
          <w:p w14:paraId="3A8EA10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1,254,191.08</w:t>
            </w:r>
          </w:p>
        </w:tc>
        <w:tc>
          <w:tcPr>
            <w:tcW w:w="1620" w:type="dxa"/>
            <w:vAlign w:val="center"/>
          </w:tcPr>
          <w:p w14:paraId="0CC4AF5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3,579,741.58</w:t>
            </w:r>
          </w:p>
        </w:tc>
        <w:tc>
          <w:tcPr>
            <w:tcW w:w="1530" w:type="dxa"/>
            <w:vAlign w:val="center"/>
          </w:tcPr>
          <w:p w14:paraId="7088352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9,406,075.37</w:t>
            </w:r>
          </w:p>
        </w:tc>
        <w:tc>
          <w:tcPr>
            <w:tcW w:w="1620" w:type="dxa"/>
          </w:tcPr>
          <w:p w14:paraId="346B5BF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26,067,098.60</w:t>
            </w:r>
          </w:p>
        </w:tc>
        <w:tc>
          <w:tcPr>
            <w:tcW w:w="1890" w:type="dxa"/>
          </w:tcPr>
          <w:p w14:paraId="15B36A3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r>
      <w:tr w14:paraId="3925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0A175BC2">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MP’s CF</w:t>
            </w:r>
          </w:p>
        </w:tc>
        <w:tc>
          <w:tcPr>
            <w:tcW w:w="1620" w:type="dxa"/>
            <w:vAlign w:val="center"/>
          </w:tcPr>
          <w:p w14:paraId="3D27C9A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433,933.45</w:t>
            </w:r>
          </w:p>
        </w:tc>
        <w:tc>
          <w:tcPr>
            <w:tcW w:w="1620" w:type="dxa"/>
            <w:vAlign w:val="center"/>
          </w:tcPr>
          <w:p w14:paraId="3A6F59D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400,000.00</w:t>
            </w:r>
          </w:p>
        </w:tc>
        <w:tc>
          <w:tcPr>
            <w:tcW w:w="1530" w:type="dxa"/>
            <w:vAlign w:val="center"/>
          </w:tcPr>
          <w:p w14:paraId="5CD66EF6">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777,954.02</w:t>
            </w:r>
          </w:p>
        </w:tc>
        <w:tc>
          <w:tcPr>
            <w:tcW w:w="1620" w:type="dxa"/>
          </w:tcPr>
          <w:p w14:paraId="296BB5C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1,021,447.16</w:t>
            </w:r>
          </w:p>
        </w:tc>
        <w:tc>
          <w:tcPr>
            <w:tcW w:w="1890" w:type="dxa"/>
          </w:tcPr>
          <w:p w14:paraId="24284D2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360,667.21</w:t>
            </w:r>
          </w:p>
        </w:tc>
      </w:tr>
      <w:tr w14:paraId="7E5E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7B43BCBF">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PWDs CF</w:t>
            </w:r>
          </w:p>
        </w:tc>
        <w:tc>
          <w:tcPr>
            <w:tcW w:w="1620" w:type="dxa"/>
            <w:vAlign w:val="center"/>
          </w:tcPr>
          <w:p w14:paraId="70ACF20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269,119.00</w:t>
            </w:r>
          </w:p>
        </w:tc>
        <w:tc>
          <w:tcPr>
            <w:tcW w:w="1620" w:type="dxa"/>
            <w:vAlign w:val="center"/>
          </w:tcPr>
          <w:p w14:paraId="35CE067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300,000.00</w:t>
            </w:r>
          </w:p>
        </w:tc>
        <w:tc>
          <w:tcPr>
            <w:tcW w:w="1530" w:type="dxa"/>
            <w:vAlign w:val="center"/>
          </w:tcPr>
          <w:p w14:paraId="3BDB73F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553,513.05</w:t>
            </w:r>
          </w:p>
        </w:tc>
        <w:tc>
          <w:tcPr>
            <w:tcW w:w="1620" w:type="dxa"/>
          </w:tcPr>
          <w:p w14:paraId="6CFD08B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673,421.62</w:t>
            </w:r>
          </w:p>
        </w:tc>
        <w:tc>
          <w:tcPr>
            <w:tcW w:w="1890" w:type="dxa"/>
          </w:tcPr>
          <w:p w14:paraId="424579C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r>
      <w:tr w14:paraId="0BC2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0D96416D">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MSHAP</w:t>
            </w:r>
          </w:p>
        </w:tc>
        <w:tc>
          <w:tcPr>
            <w:tcW w:w="1620" w:type="dxa"/>
            <w:vAlign w:val="center"/>
          </w:tcPr>
          <w:p w14:paraId="58589E4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6,659.64</w:t>
            </w:r>
          </w:p>
        </w:tc>
        <w:tc>
          <w:tcPr>
            <w:tcW w:w="1620" w:type="dxa"/>
            <w:vAlign w:val="center"/>
          </w:tcPr>
          <w:p w14:paraId="5ABD060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20,000.00</w:t>
            </w:r>
          </w:p>
        </w:tc>
        <w:tc>
          <w:tcPr>
            <w:tcW w:w="1530" w:type="dxa"/>
            <w:vAlign w:val="center"/>
          </w:tcPr>
          <w:p w14:paraId="209CF42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39,724.9</w:t>
            </w:r>
          </w:p>
        </w:tc>
        <w:tc>
          <w:tcPr>
            <w:tcW w:w="1620" w:type="dxa"/>
          </w:tcPr>
          <w:p w14:paraId="404FBCE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112,236.94</w:t>
            </w:r>
          </w:p>
        </w:tc>
        <w:tc>
          <w:tcPr>
            <w:tcW w:w="1890" w:type="dxa"/>
          </w:tcPr>
          <w:p w14:paraId="4E0E0AD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247,000.00</w:t>
            </w:r>
          </w:p>
        </w:tc>
      </w:tr>
      <w:tr w14:paraId="03E7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3EDBA00A">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DACF-RFG</w:t>
            </w:r>
          </w:p>
        </w:tc>
        <w:tc>
          <w:tcPr>
            <w:tcW w:w="1620" w:type="dxa"/>
            <w:vAlign w:val="center"/>
          </w:tcPr>
          <w:p w14:paraId="0A9769F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475,705.00</w:t>
            </w:r>
          </w:p>
        </w:tc>
        <w:tc>
          <w:tcPr>
            <w:tcW w:w="1620" w:type="dxa"/>
            <w:vAlign w:val="center"/>
          </w:tcPr>
          <w:p w14:paraId="6DC8E36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90,000.00</w:t>
            </w:r>
          </w:p>
        </w:tc>
        <w:tc>
          <w:tcPr>
            <w:tcW w:w="1530" w:type="dxa"/>
            <w:vAlign w:val="center"/>
          </w:tcPr>
          <w:p w14:paraId="4EC8A28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620" w:type="dxa"/>
          </w:tcPr>
          <w:p w14:paraId="020F492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8,863,690.00</w:t>
            </w:r>
          </w:p>
        </w:tc>
        <w:tc>
          <w:tcPr>
            <w:tcW w:w="1890" w:type="dxa"/>
          </w:tcPr>
          <w:p w14:paraId="1F75C3D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r>
      <w:tr w14:paraId="2AEE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4FFE8C7F">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LEAP</w:t>
            </w:r>
          </w:p>
        </w:tc>
        <w:tc>
          <w:tcPr>
            <w:tcW w:w="1620" w:type="dxa"/>
            <w:vAlign w:val="center"/>
          </w:tcPr>
          <w:p w14:paraId="7360CF4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174,528.00</w:t>
            </w:r>
          </w:p>
        </w:tc>
        <w:tc>
          <w:tcPr>
            <w:tcW w:w="1620" w:type="dxa"/>
            <w:vAlign w:val="center"/>
          </w:tcPr>
          <w:p w14:paraId="63FCF39E">
            <w:pPr>
              <w:spacing w:after="0" w:line="240" w:lineRule="auto"/>
              <w:jc w:val="right"/>
              <w:rPr>
                <w:rFonts w:ascii="Times New Roman" w:hAnsi="Times New Roman" w:cs="Times New Roman"/>
                <w:sz w:val="20"/>
                <w:szCs w:val="20"/>
              </w:rPr>
            </w:pPr>
            <w:r>
              <w:rPr>
                <w:rFonts w:ascii="Times New Roman" w:hAnsi="Times New Roman" w:eastAsia="Calibri" w:cs="Times New Roman"/>
                <w:sz w:val="20"/>
                <w:szCs w:val="20"/>
              </w:rPr>
              <w:t>40,896.00</w:t>
            </w:r>
          </w:p>
        </w:tc>
        <w:tc>
          <w:tcPr>
            <w:tcW w:w="1530" w:type="dxa"/>
            <w:vAlign w:val="center"/>
          </w:tcPr>
          <w:p w14:paraId="7A1AD4F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251,808</w:t>
            </w:r>
          </w:p>
        </w:tc>
        <w:tc>
          <w:tcPr>
            <w:tcW w:w="1620" w:type="dxa"/>
          </w:tcPr>
          <w:p w14:paraId="72698031">
            <w:pPr>
              <w:spacing w:after="0" w:line="240" w:lineRule="auto"/>
              <w:jc w:val="right"/>
              <w:rPr>
                <w:rFonts w:ascii="Times New Roman" w:hAnsi="Times New Roman" w:eastAsia="Calibri" w:cs="Times New Roman"/>
                <w:sz w:val="20"/>
                <w:szCs w:val="20"/>
              </w:rPr>
            </w:pPr>
            <w:r>
              <w:rPr>
                <w:rFonts w:ascii="Times New Roman" w:hAnsi="Times New Roman" w:eastAsia="Calibri" w:cs="Times New Roman"/>
                <w:sz w:val="20"/>
                <w:szCs w:val="20"/>
              </w:rPr>
              <w:t>46,200.00</w:t>
            </w:r>
          </w:p>
        </w:tc>
        <w:tc>
          <w:tcPr>
            <w:tcW w:w="1890" w:type="dxa"/>
          </w:tcPr>
          <w:p w14:paraId="5467BDED">
            <w:pPr>
              <w:spacing w:after="0" w:line="240" w:lineRule="auto"/>
              <w:jc w:val="right"/>
              <w:rPr>
                <w:rFonts w:ascii="Times New Roman" w:hAnsi="Times New Roman" w:eastAsia="Calibri" w:cs="Times New Roman"/>
                <w:sz w:val="20"/>
                <w:szCs w:val="20"/>
              </w:rPr>
            </w:pPr>
            <w:r>
              <w:rPr>
                <w:rFonts w:ascii="Times New Roman" w:hAnsi="Times New Roman" w:eastAsia="Calibri" w:cs="Times New Roman"/>
                <w:sz w:val="20"/>
                <w:szCs w:val="20"/>
              </w:rPr>
              <w:t>46,200.00</w:t>
            </w:r>
          </w:p>
        </w:tc>
      </w:tr>
      <w:tr w14:paraId="05C0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0BDFD095">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MP-SIP</w:t>
            </w:r>
          </w:p>
        </w:tc>
        <w:tc>
          <w:tcPr>
            <w:tcW w:w="1620" w:type="dxa"/>
            <w:vAlign w:val="center"/>
          </w:tcPr>
          <w:p w14:paraId="24519EF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c>
          <w:tcPr>
            <w:tcW w:w="1620" w:type="dxa"/>
            <w:vAlign w:val="center"/>
          </w:tcPr>
          <w:p w14:paraId="6A4B9A4E">
            <w:pPr>
              <w:spacing w:after="0" w:line="240" w:lineRule="auto"/>
              <w:jc w:val="right"/>
              <w:rPr>
                <w:rFonts w:ascii="Times New Roman" w:hAnsi="Times New Roman" w:cs="Times New Roman"/>
                <w:sz w:val="20"/>
                <w:szCs w:val="20"/>
              </w:rPr>
            </w:pPr>
            <w:r>
              <w:rPr>
                <w:rFonts w:ascii="Times New Roman" w:hAnsi="Times New Roman" w:eastAsia="Calibri" w:cs="Times New Roman"/>
                <w:sz w:val="20"/>
                <w:szCs w:val="20"/>
              </w:rPr>
              <w:t>60,000.00</w:t>
            </w:r>
          </w:p>
        </w:tc>
        <w:tc>
          <w:tcPr>
            <w:tcW w:w="1530" w:type="dxa"/>
            <w:vAlign w:val="center"/>
          </w:tcPr>
          <w:p w14:paraId="716B8DD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620" w:type="dxa"/>
          </w:tcPr>
          <w:p w14:paraId="462DFD80">
            <w:pPr>
              <w:spacing w:after="0" w:line="240" w:lineRule="auto"/>
              <w:jc w:val="right"/>
              <w:rPr>
                <w:rFonts w:ascii="Times New Roman" w:hAnsi="Times New Roman" w:eastAsia="Calibri" w:cs="Times New Roman"/>
                <w:sz w:val="20"/>
                <w:szCs w:val="20"/>
              </w:rPr>
            </w:pPr>
            <w:r>
              <w:rPr>
                <w:rFonts w:ascii="Times New Roman" w:hAnsi="Times New Roman" w:eastAsia="Calibri" w:cs="Times New Roman"/>
                <w:sz w:val="20"/>
                <w:szCs w:val="20"/>
              </w:rPr>
              <w:t>0.00</w:t>
            </w:r>
          </w:p>
        </w:tc>
        <w:tc>
          <w:tcPr>
            <w:tcW w:w="1890" w:type="dxa"/>
          </w:tcPr>
          <w:p w14:paraId="6D62E38D">
            <w:pPr>
              <w:spacing w:after="0" w:line="240" w:lineRule="auto"/>
              <w:jc w:val="right"/>
              <w:rPr>
                <w:rFonts w:ascii="Times New Roman" w:hAnsi="Times New Roman" w:eastAsia="Calibri" w:cs="Times New Roman"/>
                <w:sz w:val="20"/>
                <w:szCs w:val="20"/>
              </w:rPr>
            </w:pPr>
            <w:r>
              <w:rPr>
                <w:rFonts w:ascii="Times New Roman" w:hAnsi="Times New Roman" w:eastAsia="Calibri" w:cs="Times New Roman"/>
                <w:sz w:val="20"/>
                <w:szCs w:val="20"/>
              </w:rPr>
              <w:t>0.00</w:t>
            </w:r>
          </w:p>
        </w:tc>
      </w:tr>
      <w:tr w14:paraId="1889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DEEAF6"/>
            <w:vAlign w:val="center"/>
          </w:tcPr>
          <w:p w14:paraId="44FE2973">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OTHERS (MAG)</w:t>
            </w:r>
          </w:p>
        </w:tc>
        <w:tc>
          <w:tcPr>
            <w:tcW w:w="1620" w:type="dxa"/>
            <w:shd w:val="clear" w:color="auto" w:fill="FFFFFF"/>
            <w:vAlign w:val="center"/>
          </w:tcPr>
          <w:p w14:paraId="658904B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c>
          <w:tcPr>
            <w:tcW w:w="1620" w:type="dxa"/>
            <w:shd w:val="clear" w:color="auto" w:fill="FFFFFF"/>
            <w:vAlign w:val="center"/>
          </w:tcPr>
          <w:p w14:paraId="54875F9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300,000.00</w:t>
            </w:r>
          </w:p>
        </w:tc>
        <w:tc>
          <w:tcPr>
            <w:tcW w:w="1530" w:type="dxa"/>
            <w:shd w:val="clear" w:color="auto" w:fill="FFFFFF"/>
            <w:vAlign w:val="center"/>
          </w:tcPr>
          <w:p w14:paraId="686BD02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620" w:type="dxa"/>
            <w:shd w:val="clear" w:color="auto" w:fill="FFFFFF"/>
          </w:tcPr>
          <w:p w14:paraId="0B1DDC1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300,000.00</w:t>
            </w:r>
          </w:p>
        </w:tc>
        <w:tc>
          <w:tcPr>
            <w:tcW w:w="1890" w:type="dxa"/>
            <w:shd w:val="clear" w:color="auto" w:fill="FFFFFF"/>
          </w:tcPr>
          <w:p w14:paraId="13900E8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0.00</w:t>
            </w:r>
          </w:p>
        </w:tc>
      </w:tr>
      <w:tr w14:paraId="2FB7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85" w:type="dxa"/>
            <w:shd w:val="clear" w:color="auto" w:fill="F7CAAC"/>
            <w:vAlign w:val="center"/>
          </w:tcPr>
          <w:p w14:paraId="65DB3686">
            <w:pPr>
              <w:spacing w:after="0" w:line="240" w:lineRule="auto"/>
              <w:jc w:val="both"/>
              <w:rPr>
                <w:rFonts w:ascii="Times New Roman" w:hAnsi="Times New Roman" w:eastAsia="Calibri" w:cs="Times New Roman"/>
                <w:b/>
                <w:bCs/>
                <w:sz w:val="20"/>
                <w:szCs w:val="20"/>
              </w:rPr>
            </w:pPr>
            <w:r>
              <w:rPr>
                <w:rFonts w:ascii="Times New Roman" w:hAnsi="Times New Roman" w:eastAsia="Calibri" w:cs="Times New Roman"/>
                <w:b/>
                <w:bCs/>
                <w:sz w:val="20"/>
                <w:szCs w:val="20"/>
              </w:rPr>
              <w:t>TOTAL</w:t>
            </w:r>
          </w:p>
        </w:tc>
        <w:tc>
          <w:tcPr>
            <w:tcW w:w="1620" w:type="dxa"/>
            <w:shd w:val="clear" w:color="auto" w:fill="F7CAAC"/>
            <w:vAlign w:val="center"/>
          </w:tcPr>
          <w:p w14:paraId="25C7AEFD">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26,527,936.31</w:t>
            </w:r>
          </w:p>
        </w:tc>
        <w:tc>
          <w:tcPr>
            <w:tcW w:w="1620" w:type="dxa"/>
            <w:shd w:val="clear" w:color="auto" w:fill="F7CAAC"/>
            <w:vAlign w:val="center"/>
          </w:tcPr>
          <w:p w14:paraId="7890E07F">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14,714,742.38</w:t>
            </w:r>
          </w:p>
        </w:tc>
        <w:tc>
          <w:tcPr>
            <w:tcW w:w="1530" w:type="dxa"/>
            <w:shd w:val="clear" w:color="auto" w:fill="F7CAAC"/>
            <w:vAlign w:val="center"/>
          </w:tcPr>
          <w:p w14:paraId="6901580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24,279,909.35</w:t>
            </w:r>
          </w:p>
        </w:tc>
        <w:tc>
          <w:tcPr>
            <w:tcW w:w="1620" w:type="dxa"/>
            <w:shd w:val="clear" w:color="auto" w:fill="F7CAAC"/>
            <w:vAlign w:val="center"/>
          </w:tcPr>
          <w:p w14:paraId="7399FF8B">
            <w:pPr>
              <w:jc w:val="right"/>
              <w:rPr>
                <w:rFonts w:ascii="Times New Roman" w:hAnsi="Times New Roman" w:eastAsia="Times New Roman" w:cs="Times New Roman"/>
                <w:b/>
                <w:bCs/>
                <w:sz w:val="20"/>
                <w:szCs w:val="20"/>
              </w:rPr>
            </w:pPr>
            <w:r>
              <w:rPr>
                <w:rFonts w:ascii="Times New Roman" w:hAnsi="Times New Roman" w:cs="Times New Roman"/>
                <w:b/>
                <w:bCs/>
                <w:sz w:val="20"/>
                <w:szCs w:val="20"/>
              </w:rPr>
              <w:t>58,093,055.56</w:t>
            </w:r>
          </w:p>
        </w:tc>
        <w:tc>
          <w:tcPr>
            <w:tcW w:w="1890" w:type="dxa"/>
            <w:shd w:val="clear" w:color="auto" w:fill="F7CAAC"/>
            <w:vAlign w:val="center"/>
          </w:tcPr>
          <w:p w14:paraId="75ED67E3">
            <w:pPr>
              <w:jc w:val="right"/>
              <w:rPr>
                <w:rFonts w:ascii="Times New Roman" w:hAnsi="Times New Roman" w:cs="Times New Roman"/>
                <w:b/>
                <w:bCs/>
                <w:sz w:val="20"/>
                <w:szCs w:val="20"/>
              </w:rPr>
            </w:pPr>
            <w:r>
              <w:rPr>
                <w:rFonts w:ascii="Times New Roman" w:hAnsi="Times New Roman" w:cs="Times New Roman"/>
                <w:b/>
                <w:bCs/>
                <w:sz w:val="20"/>
                <w:szCs w:val="20"/>
              </w:rPr>
              <w:t>8,139,908.36</w:t>
            </w:r>
          </w:p>
        </w:tc>
      </w:tr>
    </w:tbl>
    <w:p w14:paraId="282A6890">
      <w:pPr>
        <w:spacing w:line="360" w:lineRule="auto"/>
        <w:rPr>
          <w:rFonts w:ascii="Times New Roman" w:hAnsi="Times New Roman" w:eastAsia="Calibri" w:cs="Times New Roman"/>
          <w:b/>
          <w:i/>
          <w:sz w:val="24"/>
          <w:szCs w:val="24"/>
        </w:rPr>
      </w:pPr>
      <w:r>
        <w:rPr>
          <w:rFonts w:ascii="Times New Roman" w:hAnsi="Times New Roman" w:eastAsia="Calibri" w:cs="Times New Roman"/>
          <w:b/>
          <w:i/>
          <w:sz w:val="24"/>
          <w:szCs w:val="24"/>
        </w:rPr>
        <w:t>Source: Finance Department, BNDA, New Abirem, April 2026</w:t>
      </w:r>
    </w:p>
    <w:p w14:paraId="7DFA2F2E">
      <w:pPr>
        <w:keepNext/>
        <w:spacing w:after="200" w:line="240" w:lineRule="auto"/>
        <w:rPr>
          <w:rFonts w:ascii="Times New Roman" w:hAnsi="Times New Roman" w:eastAsia="Times New Roman" w:cs="Times New Roman"/>
          <w:b/>
          <w:i/>
          <w:iCs/>
          <w:sz w:val="18"/>
          <w:szCs w:val="18"/>
        </w:rPr>
      </w:pPr>
      <w:bookmarkStart w:id="79" w:name="_Toc229970894"/>
      <w:bookmarkStart w:id="80" w:name="_Toc222328470"/>
      <w:r>
        <w:rPr>
          <w:rFonts w:ascii="Times New Roman" w:hAnsi="Times New Roman" w:eastAsia="Times New Roman" w:cs="Times New Roman"/>
          <w:b/>
          <w:i/>
          <w:iCs/>
          <w:sz w:val="18"/>
          <w:szCs w:val="18"/>
        </w:rPr>
        <w:t xml:space="preserve">Figure </w:t>
      </w:r>
      <w:r>
        <w:rPr>
          <w:rFonts w:ascii="Times New Roman" w:hAnsi="Times New Roman" w:eastAsia="Times New Roman" w:cs="Times New Roman"/>
          <w:b/>
          <w:i/>
          <w:iCs/>
          <w:sz w:val="18"/>
          <w:szCs w:val="18"/>
        </w:rPr>
        <w:fldChar w:fldCharType="begin"/>
      </w:r>
      <w:r>
        <w:rPr>
          <w:rFonts w:ascii="Times New Roman" w:hAnsi="Times New Roman" w:eastAsia="Times New Roman" w:cs="Times New Roman"/>
          <w:b/>
          <w:i/>
          <w:iCs/>
          <w:sz w:val="18"/>
          <w:szCs w:val="18"/>
        </w:rPr>
        <w:instrText xml:space="preserve"> SEQ Figure \* ARABIC </w:instrText>
      </w:r>
      <w:r>
        <w:rPr>
          <w:rFonts w:ascii="Times New Roman" w:hAnsi="Times New Roman" w:eastAsia="Times New Roman" w:cs="Times New Roman"/>
          <w:b/>
          <w:i/>
          <w:iCs/>
          <w:sz w:val="18"/>
          <w:szCs w:val="18"/>
        </w:rPr>
        <w:fldChar w:fldCharType="separate"/>
      </w:r>
      <w:r>
        <w:rPr>
          <w:rFonts w:ascii="Times New Roman" w:hAnsi="Times New Roman" w:eastAsia="Times New Roman" w:cs="Times New Roman"/>
          <w:b/>
          <w:i/>
          <w:iCs/>
          <w:sz w:val="18"/>
          <w:szCs w:val="18"/>
        </w:rPr>
        <w:t>28</w:t>
      </w:r>
      <w:r>
        <w:rPr>
          <w:rFonts w:ascii="Times New Roman" w:hAnsi="Times New Roman" w:eastAsia="Times New Roman" w:cs="Times New Roman"/>
          <w:b/>
          <w:i/>
          <w:iCs/>
          <w:sz w:val="18"/>
          <w:szCs w:val="18"/>
        </w:rPr>
        <w:fldChar w:fldCharType="end"/>
      </w:r>
      <w:r>
        <w:rPr>
          <w:rFonts w:ascii="Times New Roman" w:hAnsi="Times New Roman" w:eastAsia="Times New Roman" w:cs="Times New Roman"/>
          <w:b/>
          <w:i/>
          <w:iCs/>
          <w:sz w:val="18"/>
          <w:szCs w:val="18"/>
        </w:rPr>
        <w:t>: UPDATE ON REVENUE INFLOW OF THE ASSEMBLY</w:t>
      </w:r>
      <w:bookmarkEnd w:id="79"/>
      <w:bookmarkEnd w:id="80"/>
    </w:p>
    <w:p w14:paraId="01F0F3DF">
      <w:pPr>
        <w:keepNext/>
        <w:spacing w:after="200" w:line="240" w:lineRule="auto"/>
        <w:jc w:val="center"/>
        <w:rPr>
          <w:rFonts w:ascii="Times New Roman" w:hAnsi="Times New Roman" w:eastAsia="Times New Roman" w:cs="Times New Roman"/>
          <w:b/>
          <w:i/>
          <w:iCs/>
          <w:sz w:val="18"/>
          <w:szCs w:val="18"/>
        </w:rPr>
      </w:pPr>
      <w:r>
        <w:rPr>
          <w:rFonts w:ascii="Times New Roman" w:hAnsi="Times New Roman" w:cs="Times New Roman"/>
        </w:rPr>
        <w:drawing>
          <wp:inline distT="0" distB="0" distL="0" distR="0">
            <wp:extent cx="6978650" cy="3733800"/>
            <wp:effectExtent l="0" t="0" r="1270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13C864BE">
      <w:pPr>
        <w:keepNext/>
        <w:keepLines/>
        <w:spacing w:before="40" w:after="240" w:line="360" w:lineRule="auto"/>
        <w:outlineLvl w:val="2"/>
        <w:rPr>
          <w:rFonts w:ascii="Times New Roman" w:hAnsi="Times New Roman" w:eastAsia="Times New Roman" w:cs="Times New Roman"/>
          <w:b/>
          <w:i/>
          <w:sz w:val="24"/>
          <w:szCs w:val="24"/>
        </w:rPr>
      </w:pPr>
      <w:bookmarkStart w:id="81" w:name="_Toc222333868"/>
      <w:bookmarkStart w:id="82" w:name="_Toc230260732"/>
      <w:r>
        <w:rPr>
          <w:rFonts w:ascii="Times New Roman" w:hAnsi="Times New Roman" w:eastAsia="Times New Roman" w:cs="Times New Roman"/>
          <w:b/>
          <w:i/>
          <w:sz w:val="24"/>
          <w:szCs w:val="24"/>
        </w:rPr>
        <w:t>2.3.1 Analysis of the Assembly’s Revenue Inflows as of the First Quarter of 202</w:t>
      </w:r>
      <w:bookmarkEnd w:id="81"/>
      <w:r>
        <w:rPr>
          <w:rFonts w:ascii="Times New Roman" w:hAnsi="Times New Roman" w:eastAsia="Times New Roman" w:cs="Times New Roman"/>
          <w:b/>
          <w:i/>
          <w:sz w:val="24"/>
          <w:szCs w:val="24"/>
        </w:rPr>
        <w:t>6</w:t>
      </w:r>
      <w:bookmarkEnd w:id="82"/>
    </w:p>
    <w:p w14:paraId="09CD7F62">
      <w:pPr>
        <w:spacing w:line="360" w:lineRule="auto"/>
        <w:jc w:val="both"/>
        <w:rPr>
          <w:rFonts w:ascii="Times New Roman" w:hAnsi="Times New Roman" w:cs="Times New Roman"/>
          <w:vanish/>
          <w:sz w:val="24"/>
          <w:szCs w:val="24"/>
        </w:rPr>
      </w:pPr>
      <w:r>
        <w:rPr>
          <w:rFonts w:ascii="Times New Roman" w:hAnsi="Times New Roman" w:cs="Times New Roman"/>
          <w:vanish/>
          <w:sz w:val="24"/>
          <w:szCs w:val="24"/>
        </w:rPr>
        <w:t>Top of Form</w:t>
      </w:r>
    </w:p>
    <w:p w14:paraId="2B9C791E">
      <w:pPr>
        <w:spacing w:line="360" w:lineRule="auto"/>
        <w:jc w:val="both"/>
        <w:rPr>
          <w:rFonts w:ascii="Times New Roman" w:hAnsi="Times New Roman" w:cs="Times New Roman"/>
          <w:vanish/>
          <w:sz w:val="24"/>
          <w:szCs w:val="24"/>
        </w:rPr>
      </w:pPr>
      <w:r>
        <w:rPr>
          <w:rFonts w:ascii="Times New Roman" w:hAnsi="Times New Roman" w:cs="Times New Roman"/>
          <w:vanish/>
          <w:sz w:val="24"/>
          <w:szCs w:val="24"/>
        </w:rPr>
        <w:t>Bottom of Form</w:t>
      </w:r>
    </w:p>
    <w:p w14:paraId="2CDF3550">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revenue performance of the Birim North District Assembly during the first quarter of 2026 indicates a moderate start toward achieving the Assembly’s annual revenue target. Out of the projected annual revenue target of GHS 58,093,055.56, the Assembly realized a total amount of GHS 8,139,908.36 during the quarter, representing approximately 14.0 percent of the expected annual receipts. The revenue inflows for the period were mainly driven by Internally Generated Funds (IGF), Government of Ghana (GOG) Salary transfers, and Mineral Royalties.</w:t>
      </w:r>
    </w:p>
    <w:p w14:paraId="0A0D077F">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Internally Generated Funds (IGF) recorded the best performance among all revenue sources during the quarter, contributing GHS 3,536,049.63, which represents about 85.2 percent of the annual IGF target of GHS 4,149,419.78. This exceptional performance may be attributed to intensified revenue mobilization efforts by the Assembly, improved monitoring and supervision of revenue collectors, increased compliance among ratepayers, and the adoption of effective revenue collection strategies. The strong IGF performance demonstrates the Assembly’s growing capacity to mobilize local resources to support development activities and administrative operations.</w:t>
      </w:r>
    </w:p>
    <w:p w14:paraId="30E546EA">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Government of Ghana (GOG) Salaries also performed relatively well during the quarter, with receipts amounting to GHS 2,757,445.26, representing exactly 25.0 percent of the annual target of GHS 11,029,789.00. This performance is consistent with expectations since salary releases are generally regular and predictable on a quarterly basis. GOG Salary transfers therefore continue to provide a stable source of revenue for the Assembly’s recurrent expenditure, particularly staff compensation.</w:t>
      </w:r>
    </w:p>
    <w:p w14:paraId="66DE4630">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Mineral Royalties also recorded a commendable performance during the period under review. The Assembly received GHS 1,192,546.26, representing approximately 20.7 percent of the annual target of GHS 5,773,547.46. The relatively strong performance of mineral royalties may be linked to sustained mining activities within the district and timely disbursement of royalty allocations from the relevant authorities. This highlights the significant role of the mining sector in supporting the Assembly’s local economic development and revenue generation efforts.</w:t>
      </w:r>
    </w:p>
    <w:p w14:paraId="78378EB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MP’s Common Fund equally showed moderate performance by recording GHS 360,667.21, representing about 35.3 percent of its annual target of GHS 1,021,447.16. Additionally, the Maternal and Child Health and Nutrition Improvement Project (MSHAP) exceeded its annual target significantly by recording GHS 247,000.00 against an annual target of GHS 112,236.94. This performance suggests increased support and disbursement under the programme during the quarter. Similarly, LEAP achieved 100 percent of its annual target with receipts amounting to GHS 46,200.00 during the first quarter.</w:t>
      </w:r>
    </w:p>
    <w:p w14:paraId="066A857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Despite these positive performances, several key revenue sources performed poorly during the quarter. The District Assemblies Common Fund (DACF), DACF-RFG, GOG Transfers, PWDs Common Fund, MP-SIP, and Other Grants (MAG) recorded no inflows during the period under review. The poor performance of these funding sources may largely be attributed to delays in the release of statutory transfers and central government disbursements. The absence of DACF and DACF-RFG inflows in particular could negatively affect the implementation of capital projects and planned development interventions if the delays continue into subsequent quarters.</w:t>
      </w:r>
    </w:p>
    <w:p w14:paraId="3F8F7D5A">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Overall, the first-quarter revenue performance reveals that the Assembly’s strongest-performing areas were IGF, MSHAP, LEAP, and Mineral Royalties, mainly due to improved local revenue mobilization, regular programme disbursements, and sustained mining activities within the district. However, the continued dependence on external transfers remains a challenge, especially where delays in statutory fund releases affect project implementation and service delivery.</w:t>
      </w:r>
    </w:p>
    <w:p w14:paraId="7EC8ABF9">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Going forward, the Assembly should sustain its strong IGF mobilization strategies by intensifying public education, strengthening enforcement measures, improving revenue monitoring systems, and adopting innovative digital revenue collection mechanisms. Additionally, management should continue engaging relevant central government institutions to facilitate the timely release of statutory funds to ensure smooth implementation of programmes and projects during the remaining quarters of the 2026 fiscal year.</w:t>
      </w:r>
    </w:p>
    <w:p w14:paraId="3D481F0D">
      <w:pPr>
        <w:pStyle w:val="3"/>
        <w:spacing w:after="240"/>
        <w:rPr>
          <w:rFonts w:ascii="Times New Roman" w:hAnsi="Times New Roman" w:cs="Times New Roman"/>
          <w:b/>
          <w:bCs/>
          <w:color w:val="auto"/>
          <w:sz w:val="24"/>
          <w:szCs w:val="24"/>
        </w:rPr>
      </w:pPr>
      <w:bookmarkStart w:id="83" w:name="_Toc230260733"/>
      <w:r>
        <w:rPr>
          <w:rFonts w:ascii="Times New Roman" w:hAnsi="Times New Roman" w:cs="Times New Roman"/>
          <w:b/>
          <w:bCs/>
          <w:color w:val="auto"/>
          <w:sz w:val="24"/>
          <w:szCs w:val="24"/>
        </w:rPr>
        <w:t>2.4 Update on Expenditure for First Quarter 2026</w:t>
      </w:r>
      <w:bookmarkEnd w:id="83"/>
    </w:p>
    <w:p w14:paraId="12DC1C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During the reporting period, the Assembly’s expenditures were classified into three main categories: employee compensation, covering both internal staff and contracted personnel; Goods and Services; and Assets and Investments. Funds from various sources were strategically deployed to support ongoing initiatives, new projects, and service delivery programs, in line with the priorities outlined in the Annual Action Plan and Budget.</w:t>
      </w:r>
    </w:p>
    <w:p w14:paraId="2136830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Significant allocations were directed towards fulfilling employee compensation obligations, procuring essential goods and services, and financing strategic investments aimed at improving development outcomes across the district. These expenditures demonstrate the Assembly’s commitment to efficient and transparent resource utilization, ensuring that financial provisions are focused on priority sectors and programs.</w:t>
      </w:r>
    </w:p>
    <w:p w14:paraId="434C665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Table 2.4 and Figure 2.4 provide a comprehensive overview of the Assembly’s expenditure during the reporting period, illustrating the distribution of resources across the three primary categories and highlighting trends in financial management and allocation priorities.</w:t>
      </w:r>
    </w:p>
    <w:p w14:paraId="0B2848C3">
      <w:pPr>
        <w:pStyle w:val="8"/>
        <w:keepNext/>
        <w:rPr>
          <w:b/>
          <w:bCs/>
          <w:color w:val="auto"/>
          <w:sz w:val="20"/>
          <w:szCs w:val="20"/>
        </w:rPr>
      </w:pPr>
      <w:bookmarkStart w:id="84" w:name="_Toc229970432"/>
      <w:r>
        <w:rPr>
          <w:b/>
          <w:bCs/>
          <w:color w:val="auto"/>
          <w:sz w:val="20"/>
          <w:szCs w:val="20"/>
        </w:rPr>
        <w:t xml:space="preserve">Table </w:t>
      </w:r>
      <w:r>
        <w:rPr>
          <w:b/>
          <w:bCs/>
          <w:color w:val="auto"/>
          <w:sz w:val="20"/>
          <w:szCs w:val="20"/>
        </w:rPr>
        <w:fldChar w:fldCharType="begin"/>
      </w:r>
      <w:r>
        <w:rPr>
          <w:b/>
          <w:bCs/>
          <w:color w:val="auto"/>
          <w:sz w:val="20"/>
          <w:szCs w:val="20"/>
        </w:rPr>
        <w:instrText xml:space="preserve"> SEQ Table \* ARABIC </w:instrText>
      </w:r>
      <w:r>
        <w:rPr>
          <w:b/>
          <w:bCs/>
          <w:color w:val="auto"/>
          <w:sz w:val="20"/>
          <w:szCs w:val="20"/>
        </w:rPr>
        <w:fldChar w:fldCharType="separate"/>
      </w:r>
      <w:r>
        <w:rPr>
          <w:b/>
          <w:bCs/>
          <w:color w:val="auto"/>
          <w:sz w:val="20"/>
          <w:szCs w:val="20"/>
        </w:rPr>
        <w:t>6</w:t>
      </w:r>
      <w:r>
        <w:rPr>
          <w:b/>
          <w:bCs/>
          <w:color w:val="auto"/>
          <w:sz w:val="20"/>
          <w:szCs w:val="20"/>
        </w:rPr>
        <w:fldChar w:fldCharType="end"/>
      </w:r>
      <w:r>
        <w:rPr>
          <w:b/>
          <w:bCs/>
          <w:color w:val="auto"/>
          <w:sz w:val="20"/>
          <w:szCs w:val="20"/>
        </w:rPr>
        <w:t>: Update on Expenditure for First Quarter 2026</w:t>
      </w:r>
      <w:bookmarkEnd w:id="84"/>
    </w:p>
    <w:tbl>
      <w:tblPr>
        <w:tblStyle w:val="6"/>
        <w:tblW w:w="11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5"/>
        <w:gridCol w:w="1530"/>
        <w:gridCol w:w="1440"/>
        <w:gridCol w:w="1440"/>
        <w:gridCol w:w="1620"/>
        <w:gridCol w:w="2070"/>
      </w:tblGrid>
      <w:tr w14:paraId="3147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055" w:type="dxa"/>
            <w:vMerge w:val="restart"/>
            <w:shd w:val="clear" w:color="auto" w:fill="FBE4D5"/>
            <w:vAlign w:val="center"/>
          </w:tcPr>
          <w:p w14:paraId="310EF7FE">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EXPENDITURE</w:t>
            </w:r>
          </w:p>
        </w:tc>
        <w:tc>
          <w:tcPr>
            <w:tcW w:w="1530" w:type="dxa"/>
            <w:vMerge w:val="restart"/>
            <w:shd w:val="clear" w:color="auto" w:fill="FBE4D5"/>
            <w:vAlign w:val="center"/>
          </w:tcPr>
          <w:p w14:paraId="264C8B6A">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BASELINE 2024</w:t>
            </w:r>
          </w:p>
        </w:tc>
        <w:tc>
          <w:tcPr>
            <w:tcW w:w="1440" w:type="dxa"/>
            <w:vMerge w:val="restart"/>
            <w:shd w:val="clear" w:color="auto" w:fill="FBE4D5"/>
            <w:vAlign w:val="center"/>
          </w:tcPr>
          <w:p w14:paraId="618D2790">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TARGET 2025</w:t>
            </w:r>
          </w:p>
        </w:tc>
        <w:tc>
          <w:tcPr>
            <w:tcW w:w="1440" w:type="dxa"/>
            <w:vMerge w:val="restart"/>
            <w:shd w:val="clear" w:color="auto" w:fill="FBE4D5"/>
            <w:vAlign w:val="center"/>
          </w:tcPr>
          <w:p w14:paraId="7F33B924">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ACTUAL 2025</w:t>
            </w:r>
          </w:p>
        </w:tc>
        <w:tc>
          <w:tcPr>
            <w:tcW w:w="1620" w:type="dxa"/>
            <w:vMerge w:val="restart"/>
            <w:shd w:val="clear" w:color="auto" w:fill="FBE4D5"/>
            <w:vAlign w:val="center"/>
          </w:tcPr>
          <w:p w14:paraId="7E52A79D">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TARGET 2026</w:t>
            </w:r>
          </w:p>
        </w:tc>
        <w:tc>
          <w:tcPr>
            <w:tcW w:w="2070" w:type="dxa"/>
            <w:shd w:val="clear" w:color="auto" w:fill="FBE4D5" w:themeFill="accent2" w:themeFillTint="33"/>
            <w:vAlign w:val="center"/>
          </w:tcPr>
          <w:p w14:paraId="43F536E2">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QUARTERLY PERFORMANCE</w:t>
            </w:r>
          </w:p>
        </w:tc>
      </w:tr>
      <w:tr w14:paraId="07AD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55" w:type="dxa"/>
            <w:vMerge w:val="continue"/>
            <w:vAlign w:val="center"/>
          </w:tcPr>
          <w:p w14:paraId="19038CDD">
            <w:pPr>
              <w:spacing w:after="0" w:line="240" w:lineRule="auto"/>
              <w:jc w:val="center"/>
              <w:rPr>
                <w:rFonts w:ascii="Times New Roman" w:hAnsi="Times New Roman" w:eastAsia="Calibri" w:cs="Times New Roman"/>
                <w:b/>
                <w:bCs/>
                <w:sz w:val="20"/>
                <w:szCs w:val="20"/>
              </w:rPr>
            </w:pPr>
          </w:p>
        </w:tc>
        <w:tc>
          <w:tcPr>
            <w:tcW w:w="1530" w:type="dxa"/>
            <w:vMerge w:val="continue"/>
            <w:vAlign w:val="center"/>
          </w:tcPr>
          <w:p w14:paraId="383FB541">
            <w:pPr>
              <w:spacing w:after="0" w:line="240" w:lineRule="auto"/>
              <w:jc w:val="center"/>
              <w:rPr>
                <w:rFonts w:ascii="Times New Roman" w:hAnsi="Times New Roman" w:eastAsia="Calibri" w:cs="Times New Roman"/>
                <w:b/>
                <w:bCs/>
                <w:sz w:val="20"/>
                <w:szCs w:val="20"/>
              </w:rPr>
            </w:pPr>
          </w:p>
        </w:tc>
        <w:tc>
          <w:tcPr>
            <w:tcW w:w="1440" w:type="dxa"/>
            <w:vMerge w:val="continue"/>
            <w:vAlign w:val="center"/>
          </w:tcPr>
          <w:p w14:paraId="7F195693">
            <w:pPr>
              <w:spacing w:after="0" w:line="240" w:lineRule="auto"/>
              <w:jc w:val="center"/>
              <w:rPr>
                <w:rFonts w:ascii="Times New Roman" w:hAnsi="Times New Roman" w:eastAsia="Calibri" w:cs="Times New Roman"/>
                <w:b/>
                <w:bCs/>
                <w:sz w:val="20"/>
                <w:szCs w:val="20"/>
              </w:rPr>
            </w:pPr>
          </w:p>
        </w:tc>
        <w:tc>
          <w:tcPr>
            <w:tcW w:w="1440" w:type="dxa"/>
            <w:vMerge w:val="continue"/>
            <w:vAlign w:val="center"/>
          </w:tcPr>
          <w:p w14:paraId="0A1B4F0D">
            <w:pPr>
              <w:spacing w:after="0" w:line="240" w:lineRule="auto"/>
              <w:jc w:val="center"/>
              <w:rPr>
                <w:rFonts w:ascii="Times New Roman" w:hAnsi="Times New Roman" w:eastAsia="Calibri" w:cs="Times New Roman"/>
                <w:b/>
                <w:bCs/>
                <w:sz w:val="20"/>
                <w:szCs w:val="20"/>
              </w:rPr>
            </w:pPr>
          </w:p>
        </w:tc>
        <w:tc>
          <w:tcPr>
            <w:tcW w:w="1620" w:type="dxa"/>
            <w:vMerge w:val="continue"/>
            <w:vAlign w:val="center"/>
          </w:tcPr>
          <w:p w14:paraId="54B44CC2">
            <w:pPr>
              <w:spacing w:after="0" w:line="240" w:lineRule="auto"/>
              <w:jc w:val="center"/>
              <w:rPr>
                <w:rFonts w:ascii="Times New Roman" w:hAnsi="Times New Roman" w:eastAsia="Calibri" w:cs="Times New Roman"/>
                <w:b/>
                <w:bCs/>
                <w:sz w:val="20"/>
                <w:szCs w:val="20"/>
              </w:rPr>
            </w:pPr>
          </w:p>
        </w:tc>
        <w:tc>
          <w:tcPr>
            <w:tcW w:w="2070" w:type="dxa"/>
            <w:shd w:val="clear" w:color="auto" w:fill="FBE4D5" w:themeFill="accent2" w:themeFillTint="33"/>
            <w:vAlign w:val="center"/>
          </w:tcPr>
          <w:p w14:paraId="23F1A0AB">
            <w:pPr>
              <w:spacing w:after="0" w:line="240" w:lineRule="auto"/>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1</w:t>
            </w:r>
            <w:r>
              <w:rPr>
                <w:rFonts w:ascii="Times New Roman" w:hAnsi="Times New Roman" w:eastAsia="Calibri" w:cs="Times New Roman"/>
                <w:b/>
                <w:bCs/>
                <w:sz w:val="20"/>
                <w:szCs w:val="20"/>
                <w:vertAlign w:val="superscript"/>
              </w:rPr>
              <w:t>ST</w:t>
            </w:r>
            <w:r>
              <w:rPr>
                <w:rFonts w:ascii="Times New Roman" w:hAnsi="Times New Roman" w:eastAsia="Calibri" w:cs="Times New Roman"/>
                <w:b/>
                <w:bCs/>
                <w:sz w:val="20"/>
                <w:szCs w:val="20"/>
              </w:rPr>
              <w:t xml:space="preserve"> QUARTER</w:t>
            </w:r>
          </w:p>
        </w:tc>
      </w:tr>
      <w:tr w14:paraId="750E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055" w:type="dxa"/>
            <w:shd w:val="clear" w:color="auto" w:fill="BDD6EE"/>
            <w:vAlign w:val="center"/>
          </w:tcPr>
          <w:p w14:paraId="28EFCFF0">
            <w:pPr>
              <w:spacing w:after="0" w:line="36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GOG &amp; IGF COMPENSATION</w:t>
            </w:r>
          </w:p>
        </w:tc>
        <w:tc>
          <w:tcPr>
            <w:tcW w:w="1530" w:type="dxa"/>
            <w:vAlign w:val="center"/>
          </w:tcPr>
          <w:p w14:paraId="1308FF16">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7,345,132.07</w:t>
            </w:r>
          </w:p>
        </w:tc>
        <w:tc>
          <w:tcPr>
            <w:tcW w:w="1440" w:type="dxa"/>
            <w:vAlign w:val="center"/>
          </w:tcPr>
          <w:p w14:paraId="5B2E9AC0">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9,071,939.06</w:t>
            </w:r>
          </w:p>
        </w:tc>
        <w:tc>
          <w:tcPr>
            <w:tcW w:w="1440" w:type="dxa"/>
            <w:vAlign w:val="center"/>
          </w:tcPr>
          <w:p w14:paraId="25F39497">
            <w:pPr>
              <w:rPr>
                <w:rFonts w:ascii="Times New Roman" w:hAnsi="Times New Roman" w:cs="Times New Roman"/>
                <w:sz w:val="20"/>
                <w:szCs w:val="20"/>
              </w:rPr>
            </w:pPr>
            <w:r>
              <w:rPr>
                <w:rFonts w:ascii="Times New Roman" w:hAnsi="Times New Roman" w:cs="Times New Roman"/>
                <w:sz w:val="20"/>
                <w:szCs w:val="20"/>
              </w:rPr>
              <w:t>7,716.575.77</w:t>
            </w:r>
          </w:p>
        </w:tc>
        <w:tc>
          <w:tcPr>
            <w:tcW w:w="1620" w:type="dxa"/>
            <w:vAlign w:val="center"/>
          </w:tcPr>
          <w:p w14:paraId="0C981A5C">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11,589,270.20</w:t>
            </w:r>
          </w:p>
        </w:tc>
        <w:tc>
          <w:tcPr>
            <w:tcW w:w="2070" w:type="dxa"/>
            <w:vAlign w:val="center"/>
          </w:tcPr>
          <w:p w14:paraId="4237E30F">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2,828,077.54</w:t>
            </w:r>
          </w:p>
        </w:tc>
      </w:tr>
      <w:tr w14:paraId="60AF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055" w:type="dxa"/>
            <w:shd w:val="clear" w:color="auto" w:fill="BDD6EE"/>
            <w:vAlign w:val="center"/>
          </w:tcPr>
          <w:p w14:paraId="4B4392BC">
            <w:pPr>
              <w:spacing w:after="0" w:line="36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GOODS AND SERVICE</w:t>
            </w:r>
          </w:p>
        </w:tc>
        <w:tc>
          <w:tcPr>
            <w:tcW w:w="1530" w:type="dxa"/>
            <w:vAlign w:val="center"/>
          </w:tcPr>
          <w:p w14:paraId="7A611620">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6,893,111.34</w:t>
            </w:r>
          </w:p>
        </w:tc>
        <w:tc>
          <w:tcPr>
            <w:tcW w:w="1440" w:type="dxa"/>
            <w:vAlign w:val="center"/>
          </w:tcPr>
          <w:p w14:paraId="799AD60A">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7,980,666.00</w:t>
            </w:r>
          </w:p>
        </w:tc>
        <w:tc>
          <w:tcPr>
            <w:tcW w:w="1440" w:type="dxa"/>
            <w:vAlign w:val="center"/>
          </w:tcPr>
          <w:p w14:paraId="441226C2">
            <w:pPr>
              <w:spacing w:after="6"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3,3962,864.00</w:t>
            </w:r>
          </w:p>
        </w:tc>
        <w:tc>
          <w:tcPr>
            <w:tcW w:w="1620" w:type="dxa"/>
            <w:vAlign w:val="center"/>
          </w:tcPr>
          <w:p w14:paraId="0765B453">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20,551,710.09</w:t>
            </w:r>
          </w:p>
        </w:tc>
        <w:tc>
          <w:tcPr>
            <w:tcW w:w="2070" w:type="dxa"/>
            <w:vAlign w:val="center"/>
          </w:tcPr>
          <w:p w14:paraId="63C39171">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2,976,875.86</w:t>
            </w:r>
          </w:p>
        </w:tc>
      </w:tr>
      <w:tr w14:paraId="323E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055" w:type="dxa"/>
            <w:shd w:val="clear" w:color="auto" w:fill="BDD6EE"/>
            <w:vAlign w:val="center"/>
          </w:tcPr>
          <w:p w14:paraId="49A316F6">
            <w:pPr>
              <w:spacing w:after="0" w:line="36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ASSETS/INVESTMENTS</w:t>
            </w:r>
          </w:p>
        </w:tc>
        <w:tc>
          <w:tcPr>
            <w:tcW w:w="1530" w:type="dxa"/>
            <w:vAlign w:val="center"/>
          </w:tcPr>
          <w:p w14:paraId="10B4B44F">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7,449,370.05</w:t>
            </w:r>
          </w:p>
        </w:tc>
        <w:tc>
          <w:tcPr>
            <w:tcW w:w="1440" w:type="dxa"/>
            <w:vAlign w:val="center"/>
          </w:tcPr>
          <w:p w14:paraId="7F760579">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5,056,696.00</w:t>
            </w:r>
          </w:p>
        </w:tc>
        <w:tc>
          <w:tcPr>
            <w:tcW w:w="1440" w:type="dxa"/>
            <w:vAlign w:val="center"/>
          </w:tcPr>
          <w:p w14:paraId="6DBCFDCC">
            <w:pPr>
              <w:spacing w:after="6" w:line="24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1,187.982.40</w:t>
            </w:r>
          </w:p>
        </w:tc>
        <w:tc>
          <w:tcPr>
            <w:tcW w:w="1620" w:type="dxa"/>
            <w:vAlign w:val="center"/>
          </w:tcPr>
          <w:p w14:paraId="06616B48">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26,560,362.91</w:t>
            </w:r>
          </w:p>
        </w:tc>
        <w:tc>
          <w:tcPr>
            <w:tcW w:w="2070" w:type="dxa"/>
            <w:vAlign w:val="center"/>
          </w:tcPr>
          <w:p w14:paraId="625D597C">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5,334,017.77</w:t>
            </w:r>
          </w:p>
        </w:tc>
      </w:tr>
      <w:tr w14:paraId="63FF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055" w:type="dxa"/>
            <w:shd w:val="clear" w:color="auto" w:fill="FEF2CC"/>
            <w:vAlign w:val="center"/>
          </w:tcPr>
          <w:p w14:paraId="2DD682AA">
            <w:pPr>
              <w:spacing w:after="0" w:line="360" w:lineRule="auto"/>
              <w:jc w:val="both"/>
              <w:rPr>
                <w:rFonts w:ascii="Times New Roman" w:hAnsi="Times New Roman" w:eastAsia="Calibri" w:cs="Times New Roman"/>
                <w:b/>
                <w:sz w:val="20"/>
                <w:szCs w:val="20"/>
              </w:rPr>
            </w:pPr>
            <w:r>
              <w:rPr>
                <w:rFonts w:ascii="Times New Roman" w:hAnsi="Times New Roman" w:eastAsia="Calibri" w:cs="Times New Roman"/>
                <w:b/>
                <w:bCs/>
                <w:sz w:val="20"/>
                <w:szCs w:val="20"/>
              </w:rPr>
              <w:t>TOTAL</w:t>
            </w:r>
          </w:p>
        </w:tc>
        <w:tc>
          <w:tcPr>
            <w:tcW w:w="1530" w:type="dxa"/>
            <w:shd w:val="clear" w:color="auto" w:fill="FFF2CC"/>
            <w:vAlign w:val="center"/>
          </w:tcPr>
          <w:p w14:paraId="195F7240">
            <w:pPr>
              <w:spacing w:after="0" w:line="360" w:lineRule="auto"/>
              <w:jc w:val="right"/>
              <w:rPr>
                <w:rFonts w:ascii="Times New Roman" w:hAnsi="Times New Roman" w:cs="Times New Roman"/>
                <w:b/>
                <w:sz w:val="20"/>
                <w:szCs w:val="20"/>
              </w:rPr>
            </w:pPr>
            <w:r>
              <w:rPr>
                <w:rFonts w:ascii="Times New Roman" w:hAnsi="Times New Roman" w:cs="Times New Roman"/>
                <w:b/>
                <w:sz w:val="20"/>
                <w:szCs w:val="20"/>
              </w:rPr>
              <w:t>21,313,233.67</w:t>
            </w:r>
          </w:p>
        </w:tc>
        <w:tc>
          <w:tcPr>
            <w:tcW w:w="1440" w:type="dxa"/>
            <w:shd w:val="clear" w:color="auto" w:fill="FFF2CC"/>
            <w:vAlign w:val="center"/>
          </w:tcPr>
          <w:p w14:paraId="7DAEC774">
            <w:pPr>
              <w:spacing w:after="0" w:line="360" w:lineRule="auto"/>
              <w:jc w:val="right"/>
              <w:rPr>
                <w:rFonts w:ascii="Times New Roman" w:hAnsi="Times New Roman" w:cs="Times New Roman"/>
                <w:b/>
                <w:bCs/>
                <w:sz w:val="20"/>
                <w:szCs w:val="20"/>
              </w:rPr>
            </w:pPr>
            <w:r>
              <w:rPr>
                <w:rFonts w:ascii="Times New Roman" w:hAnsi="Times New Roman" w:cs="Times New Roman"/>
                <w:b/>
                <w:bCs/>
                <w:sz w:val="20"/>
                <w:szCs w:val="20"/>
              </w:rPr>
              <w:t>22,109,301.06</w:t>
            </w:r>
          </w:p>
        </w:tc>
        <w:tc>
          <w:tcPr>
            <w:tcW w:w="1440" w:type="dxa"/>
            <w:shd w:val="clear" w:color="auto" w:fill="FFF2CC"/>
            <w:vAlign w:val="center"/>
          </w:tcPr>
          <w:p w14:paraId="3526B4E9">
            <w:pPr>
              <w:spacing w:after="6" w:line="360" w:lineRule="auto"/>
              <w:jc w:val="right"/>
              <w:rPr>
                <w:rFonts w:ascii="Times New Roman" w:hAnsi="Times New Roman" w:eastAsia="Times New Roman" w:cs="Times New Roman"/>
                <w:b/>
                <w:sz w:val="20"/>
                <w:szCs w:val="20"/>
              </w:rPr>
            </w:pPr>
            <w:r>
              <w:rPr>
                <w:rFonts w:ascii="Times New Roman" w:hAnsi="Times New Roman" w:cs="Times New Roman"/>
                <w:b/>
                <w:bCs/>
                <w:sz w:val="20"/>
                <w:szCs w:val="20"/>
              </w:rPr>
              <w:t>33,962,864</w:t>
            </w:r>
          </w:p>
        </w:tc>
        <w:tc>
          <w:tcPr>
            <w:tcW w:w="1620" w:type="dxa"/>
            <w:shd w:val="clear" w:color="auto" w:fill="FFF2CC"/>
            <w:vAlign w:val="center"/>
          </w:tcPr>
          <w:p w14:paraId="28F72D95">
            <w:pPr>
              <w:jc w:val="right"/>
              <w:rPr>
                <w:rFonts w:ascii="Times New Roman" w:hAnsi="Times New Roman" w:eastAsia="Times New Roman" w:cs="Times New Roman"/>
                <w:b/>
                <w:bCs/>
                <w:sz w:val="20"/>
                <w:szCs w:val="20"/>
              </w:rPr>
            </w:pPr>
            <w:r>
              <w:rPr>
                <w:rFonts w:ascii="Times New Roman" w:hAnsi="Times New Roman" w:cs="Times New Roman"/>
                <w:b/>
                <w:bCs/>
                <w:sz w:val="20"/>
                <w:szCs w:val="20"/>
              </w:rPr>
              <w:t>58,701,343.20</w:t>
            </w:r>
          </w:p>
        </w:tc>
        <w:tc>
          <w:tcPr>
            <w:tcW w:w="2070" w:type="dxa"/>
            <w:shd w:val="clear" w:color="auto" w:fill="FFF2CC"/>
            <w:vAlign w:val="center"/>
          </w:tcPr>
          <w:p w14:paraId="2D9C65ED">
            <w:pPr>
              <w:jc w:val="right"/>
              <w:rPr>
                <w:rFonts w:ascii="Times New Roman" w:hAnsi="Times New Roman" w:cs="Times New Roman"/>
                <w:b/>
                <w:bCs/>
                <w:sz w:val="20"/>
                <w:szCs w:val="20"/>
              </w:rPr>
            </w:pPr>
            <w:r>
              <w:rPr>
                <w:rFonts w:ascii="Times New Roman" w:hAnsi="Times New Roman" w:cs="Times New Roman"/>
                <w:b/>
                <w:bCs/>
                <w:sz w:val="20"/>
                <w:szCs w:val="20"/>
              </w:rPr>
              <w:t>11,138,971.17</w:t>
            </w:r>
          </w:p>
        </w:tc>
      </w:tr>
    </w:tbl>
    <w:p w14:paraId="491B33CF">
      <w:pPr>
        <w:spacing w:line="360" w:lineRule="auto"/>
        <w:rPr>
          <w:rFonts w:ascii="Times New Roman" w:hAnsi="Times New Roman" w:cs="Times New Roman"/>
          <w:b/>
          <w:i/>
          <w:sz w:val="18"/>
          <w:szCs w:val="18"/>
        </w:rPr>
      </w:pPr>
      <w:r>
        <w:rPr>
          <w:rFonts w:ascii="Times New Roman" w:hAnsi="Times New Roman" w:cs="Times New Roman"/>
          <w:b/>
          <w:i/>
          <w:sz w:val="18"/>
          <w:szCs w:val="18"/>
        </w:rPr>
        <w:t xml:space="preserve">Source: Finance Department, BNDA, New Abirem, </w:t>
      </w:r>
      <w:r>
        <w:rPr>
          <w:rFonts w:ascii="Times New Roman" w:hAnsi="Times New Roman" w:eastAsia="Calibri" w:cs="Times New Roman"/>
          <w:b/>
          <w:i/>
          <w:sz w:val="18"/>
          <w:szCs w:val="18"/>
        </w:rPr>
        <w:t>January</w:t>
      </w:r>
      <w:r>
        <w:rPr>
          <w:rFonts w:ascii="Times New Roman" w:hAnsi="Times New Roman" w:cs="Times New Roman"/>
          <w:b/>
          <w:i/>
          <w:sz w:val="18"/>
          <w:szCs w:val="18"/>
        </w:rPr>
        <w:t>, 2026</w:t>
      </w:r>
    </w:p>
    <w:p w14:paraId="339F7506">
      <w:pPr>
        <w:spacing w:line="360" w:lineRule="auto"/>
        <w:rPr>
          <w:rFonts w:ascii="Times New Roman" w:hAnsi="Times New Roman" w:cs="Times New Roman"/>
          <w:b/>
          <w:i/>
          <w:sz w:val="18"/>
          <w:szCs w:val="18"/>
        </w:rPr>
      </w:pPr>
    </w:p>
    <w:p w14:paraId="07594571">
      <w:pPr>
        <w:spacing w:line="360" w:lineRule="auto"/>
        <w:rPr>
          <w:rFonts w:ascii="Times New Roman" w:hAnsi="Times New Roman" w:cs="Times New Roman"/>
          <w:b/>
          <w:i/>
          <w:sz w:val="18"/>
          <w:szCs w:val="18"/>
        </w:rPr>
      </w:pPr>
      <w:r>
        <w:rPr>
          <w:rFonts w:ascii="Times New Roman" w:hAnsi="Times New Roman" w:cs="Times New Roman"/>
        </w:rPr>
        <w:drawing>
          <wp:inline distT="0" distB="0" distL="0" distR="0">
            <wp:extent cx="6909435" cy="3303905"/>
            <wp:effectExtent l="0" t="0" r="5715"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06C9C6DD">
      <w:pPr>
        <w:keepNext/>
        <w:keepLines/>
        <w:spacing w:before="40" w:after="240" w:line="240" w:lineRule="auto"/>
        <w:outlineLvl w:val="2"/>
        <w:rPr>
          <w:rFonts w:ascii="Times New Roman" w:hAnsi="Times New Roman" w:eastAsia="Calibri" w:cs="Times New Roman"/>
          <w:b/>
          <w:i/>
          <w:sz w:val="24"/>
          <w:szCs w:val="24"/>
        </w:rPr>
      </w:pPr>
      <w:bookmarkStart w:id="85" w:name="_Toc222333869"/>
      <w:bookmarkStart w:id="86" w:name="_Toc230260734"/>
      <w:r>
        <w:rPr>
          <w:rFonts w:ascii="Times New Roman" w:hAnsi="Times New Roman" w:eastAsia="Calibri" w:cs="Times New Roman"/>
          <w:b/>
          <w:i/>
          <w:sz w:val="24"/>
          <w:szCs w:val="24"/>
        </w:rPr>
        <w:t>2.4.1 Analysis of Expenditure Performance – First Quarter 202</w:t>
      </w:r>
      <w:bookmarkEnd w:id="85"/>
      <w:r>
        <w:rPr>
          <w:rFonts w:ascii="Times New Roman" w:hAnsi="Times New Roman" w:eastAsia="Calibri" w:cs="Times New Roman"/>
          <w:b/>
          <w:i/>
          <w:sz w:val="24"/>
          <w:szCs w:val="24"/>
        </w:rPr>
        <w:t>6</w:t>
      </w:r>
      <w:bookmarkEnd w:id="86"/>
    </w:p>
    <w:p w14:paraId="05DEB25A">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During the first quarter of 2026, the Birim North District Assembly incurred a total expenditure of GHS 11,138,971.17 against an annual expenditure target of GHS 58,701,343.20, representing approximately 19.0 percent of the projected annual expenditure. The expenditure pattern during the quarter reflects the Assembly’s commitment toward meeting recurrent obligations while simultaneously investing in infrastructure development and service delivery improvement.</w:t>
      </w:r>
    </w:p>
    <w:p w14:paraId="4B6CE4A9">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Expenditure on Assets and Investments recorded the highest performance during the quarter, amounting to GHS 5,334,017.77, which accounted for approximately 47.9 percent of total expenditure for the period. This expenditure also represents about 20.1 percent of the annual target for Assets and Investments. The strong performance under this expenditure category may be attributed to the commencement and ongoing execution of capital projects, rehabilitation works, and other development interventions across the district. The Assembly’s decision to prioritize capital expenditure during the quarter demonstrates its commitment toward improving infrastructure, enhancing service delivery, and addressing the developmental needs of communities within the district.</w:t>
      </w:r>
    </w:p>
    <w:p w14:paraId="2B8D098D">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Expenditure on Goods and Services also performed strongly during the quarter, recording GHS 2,976,875.86, representing approximately 26.7 percent of total expenditure and about 14.5 percent of the annual target. This expenditure supported routine administrative operations, monitoring and evaluation activities, maintenance works, official travels, capacity-building programmes, and other operational activities necessary for the effective functioning of the Assembly. The relatively high expenditure under Goods and Services may further be attributed to increased operational activities and implementation of programmes outlined in the Assembly’s annual action plan during the quarter.</w:t>
      </w:r>
    </w:p>
    <w:p w14:paraId="5CB43E1D">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Similarly, expenditure on GoG and IGF Compensation amounted to GHS 2,828,077.54, accounting for approximately 25.4 percent of total expenditure during the first quarter and about 24.4 percent of the annual compensation target. This category covered salaries, wages, allowances, and other staff-related compensation costs. The stable performance of compensation expenditure reflects the Assembly’s continued commitment to meeting its obligations toward staff remuneration and maintaining administrative efficiency.</w:t>
      </w:r>
    </w:p>
    <w:p w14:paraId="09BFBADA">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Among the three expenditure categories, Assets and Investments emerged as the best-performing expenditure area during the quarter due to the significant level of capital spending recorded. This strong performance was mainly driven by the Assembly’s focus on project implementation and infrastructure development activities. Compensation expenditure also performed steadily because salary payments are regular and predictable, while Goods and Services recorded moderate to high performance due to increased administrative and operational demands during the quarter.</w:t>
      </w:r>
    </w:p>
    <w:p w14:paraId="1B6FE848">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Overall, the expenditure pattern for the first quarter of 2026 indicates a balanced approach between recurrent expenditure and development-oriented spending. The significant allocation toward Assets and Investments is encouraging, as it demonstrates the Assembly’s commitment to developmental projects and long-term service delivery improvement. However, the heavy concentration of expenditure on capital projects also highlights the need for effective monitoring, procurement efficiency, and prudent financial management to ensure value for money and timely completion of projects.</w:t>
      </w:r>
    </w:p>
    <w:p w14:paraId="2F2ED6A4">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Going forward, the Assembly should continue strengthening expenditure control mechanisms, improve budget implementation monitoring, and ensure timely release and utilization of funds to support both recurrent and capital expenditure activities. In addition, management should prioritize efficient cash flow planning and expenditure tracking to sustain balanced fiscal performance throughout the remaining quarters of the 2026 financial year.</w:t>
      </w:r>
    </w:p>
    <w:p w14:paraId="32ED2C2B">
      <w:pPr>
        <w:pStyle w:val="3"/>
        <w:rPr>
          <w:rFonts w:ascii="Times New Roman" w:hAnsi="Times New Roman" w:cs="Times New Roman"/>
          <w:b/>
          <w:color w:val="auto"/>
        </w:rPr>
      </w:pPr>
      <w:bookmarkStart w:id="87" w:name="_Toc157636386"/>
      <w:bookmarkStart w:id="88" w:name="_Toc222333870"/>
      <w:bookmarkStart w:id="89" w:name="_Toc189219094"/>
      <w:bookmarkStart w:id="90" w:name="_Toc173321178"/>
      <w:bookmarkStart w:id="91" w:name="_Toc230260735"/>
      <w:r>
        <w:rPr>
          <w:rFonts w:ascii="Times New Roman" w:hAnsi="Times New Roman" w:cs="Times New Roman"/>
          <w:b/>
          <w:color w:val="auto"/>
        </w:rPr>
        <w:t>2.5. Update on National Core Indicators and Targets</w:t>
      </w:r>
      <w:bookmarkEnd w:id="87"/>
      <w:bookmarkEnd w:id="88"/>
      <w:bookmarkEnd w:id="89"/>
      <w:bookmarkEnd w:id="90"/>
      <w:bookmarkEnd w:id="91"/>
    </w:p>
    <w:p w14:paraId="4FC43840">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section presents an assessment of the District’s performance against the National Core Indicators and set targets for the reporting period. It provides an overview of progress made in the implementation of key development interventions, highlighting achievements recorded as well as challenges encountered across priority sectors.</w:t>
      </w:r>
    </w:p>
    <w:p w14:paraId="35AEC5CB">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analysis focuses on critical development areas such as infrastructure delivery, social service provision, revenue mobilization, health, education, and social protection programmes. It further examines how available financial and human resources were utilized to support the District’s development priorities during the period under review. This provides a clear picture of implementation efficiency and service delivery performance.</w:t>
      </w:r>
    </w:p>
    <w:p w14:paraId="0CE6CEB9">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addition, the section identifies key gaps and constraints that affected the attainment of set targets, thereby drawing attention to areas that require strategic intervention and improved resource allocation. It also highlights sectors where performance was relatively strong, offering insights into good practices that can be sustained and scaled up.</w:t>
      </w:r>
    </w:p>
    <w:p w14:paraId="0D9537BF">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updated National Core Indicators provide a comprehensive measure of the District’s development performance, particularly in relation to economic growth, employment creation, enterprise development, and access to essential social services. The findings serve as an important tool for evidence-based planning, informed decision-making, and performance tracking, while ensuring alignment with national development priorities and policy objectives.</w:t>
      </w:r>
    </w:p>
    <w:p w14:paraId="30885821">
      <w:pPr>
        <w:spacing w:before="100" w:beforeAutospacing="1" w:after="100" w:afterAutospacing="1" w:line="360" w:lineRule="auto"/>
        <w:jc w:val="both"/>
        <w:rPr>
          <w:rFonts w:ascii="Times New Roman" w:hAnsi="Times New Roman" w:eastAsia="Times New Roman" w:cs="Times New Roman"/>
          <w:sz w:val="24"/>
          <w:szCs w:val="24"/>
        </w:rPr>
      </w:pPr>
    </w:p>
    <w:p w14:paraId="79A9B73C">
      <w:pPr>
        <w:spacing w:before="100" w:beforeAutospacing="1" w:after="100" w:afterAutospacing="1" w:line="360" w:lineRule="auto"/>
        <w:jc w:val="both"/>
        <w:rPr>
          <w:rFonts w:ascii="Times New Roman" w:hAnsi="Times New Roman" w:eastAsia="Times New Roman" w:cs="Times New Roman"/>
          <w:sz w:val="24"/>
          <w:szCs w:val="24"/>
        </w:rPr>
      </w:pPr>
    </w:p>
    <w:p w14:paraId="7EE78369">
      <w:pPr>
        <w:spacing w:before="100" w:beforeAutospacing="1" w:after="100" w:afterAutospacing="1" w:line="360" w:lineRule="auto"/>
        <w:jc w:val="both"/>
        <w:rPr>
          <w:rFonts w:ascii="Times New Roman" w:hAnsi="Times New Roman" w:eastAsia="Times New Roman" w:cs="Times New Roman"/>
          <w:sz w:val="24"/>
          <w:szCs w:val="24"/>
        </w:rPr>
      </w:pPr>
    </w:p>
    <w:p w14:paraId="12A954D9">
      <w:pPr>
        <w:spacing w:before="100" w:beforeAutospacing="1" w:after="100" w:afterAutospacing="1" w:line="360" w:lineRule="auto"/>
        <w:jc w:val="both"/>
        <w:rPr>
          <w:rFonts w:ascii="Times New Roman" w:hAnsi="Times New Roman" w:eastAsia="Times New Roman" w:cs="Times New Roman"/>
          <w:sz w:val="24"/>
          <w:szCs w:val="24"/>
        </w:rPr>
      </w:pPr>
    </w:p>
    <w:p w14:paraId="0528CC7F">
      <w:pPr>
        <w:spacing w:before="100" w:beforeAutospacing="1" w:after="100" w:afterAutospacing="1" w:line="360" w:lineRule="auto"/>
        <w:jc w:val="both"/>
        <w:rPr>
          <w:rFonts w:ascii="Times New Roman" w:hAnsi="Times New Roman" w:eastAsia="Times New Roman" w:cs="Times New Roman"/>
          <w:sz w:val="24"/>
          <w:szCs w:val="24"/>
        </w:rPr>
      </w:pPr>
    </w:p>
    <w:p w14:paraId="0939D871">
      <w:pPr>
        <w:spacing w:before="100" w:beforeAutospacing="1" w:after="100" w:afterAutospacing="1" w:line="360" w:lineRule="auto"/>
        <w:jc w:val="both"/>
        <w:rPr>
          <w:rFonts w:ascii="Times New Roman" w:hAnsi="Times New Roman" w:eastAsia="Times New Roman" w:cs="Times New Roman"/>
          <w:sz w:val="24"/>
          <w:szCs w:val="24"/>
        </w:rPr>
      </w:pPr>
    </w:p>
    <w:p w14:paraId="0B31124A">
      <w:pPr>
        <w:spacing w:before="100" w:beforeAutospacing="1" w:after="100" w:afterAutospacing="1" w:line="360" w:lineRule="auto"/>
        <w:jc w:val="both"/>
        <w:rPr>
          <w:rFonts w:ascii="Times New Roman" w:hAnsi="Times New Roman" w:eastAsia="Times New Roman" w:cs="Times New Roman"/>
          <w:sz w:val="24"/>
          <w:szCs w:val="24"/>
        </w:rPr>
      </w:pPr>
    </w:p>
    <w:p w14:paraId="74974CF0">
      <w:pPr>
        <w:spacing w:before="100" w:beforeAutospacing="1" w:after="100" w:afterAutospacing="1" w:line="360" w:lineRule="auto"/>
        <w:jc w:val="both"/>
        <w:rPr>
          <w:rFonts w:ascii="Times New Roman" w:hAnsi="Times New Roman" w:eastAsia="Times New Roman" w:cs="Times New Roman"/>
          <w:sz w:val="24"/>
          <w:szCs w:val="24"/>
        </w:rPr>
      </w:pPr>
    </w:p>
    <w:p w14:paraId="6B6F8BE5">
      <w:pPr>
        <w:spacing w:before="100" w:beforeAutospacing="1" w:after="100" w:afterAutospacing="1" w:line="360" w:lineRule="auto"/>
        <w:jc w:val="both"/>
        <w:rPr>
          <w:rFonts w:ascii="Times New Roman" w:hAnsi="Times New Roman" w:eastAsia="Times New Roman" w:cs="Times New Roman"/>
          <w:sz w:val="24"/>
          <w:szCs w:val="24"/>
        </w:rPr>
      </w:pPr>
    </w:p>
    <w:p w14:paraId="3156C202">
      <w:pPr>
        <w:spacing w:before="100" w:beforeAutospacing="1" w:after="100" w:afterAutospacing="1" w:line="360" w:lineRule="auto"/>
        <w:jc w:val="both"/>
        <w:rPr>
          <w:rFonts w:ascii="Times New Roman" w:hAnsi="Times New Roman" w:eastAsia="Times New Roman" w:cs="Times New Roman"/>
          <w:sz w:val="24"/>
          <w:szCs w:val="24"/>
        </w:rPr>
      </w:pPr>
    </w:p>
    <w:p w14:paraId="13F77889">
      <w:pPr>
        <w:spacing w:before="100" w:beforeAutospacing="1" w:after="100" w:afterAutospacing="1" w:line="360" w:lineRule="auto"/>
        <w:jc w:val="both"/>
        <w:rPr>
          <w:rFonts w:ascii="Times New Roman" w:hAnsi="Times New Roman" w:eastAsia="Times New Roman" w:cs="Times New Roman"/>
          <w:sz w:val="24"/>
          <w:szCs w:val="24"/>
        </w:rPr>
        <w:sectPr>
          <w:pgSz w:w="12240" w:h="15840"/>
          <w:pgMar w:top="720" w:right="720" w:bottom="720" w:left="720" w:header="720" w:footer="720" w:gutter="0"/>
          <w:cols w:space="720" w:num="1"/>
          <w:docGrid w:linePitch="360" w:charSpace="0"/>
        </w:sectPr>
      </w:pPr>
    </w:p>
    <w:p w14:paraId="17D7DD83">
      <w:pPr>
        <w:keepNext/>
        <w:spacing w:after="200" w:line="240" w:lineRule="auto"/>
        <w:rPr>
          <w:rFonts w:ascii="Times New Roman" w:hAnsi="Times New Roman" w:eastAsia="Times New Roman" w:cs="Times New Roman"/>
          <w:b/>
          <w:i/>
          <w:iCs/>
          <w:sz w:val="24"/>
          <w:szCs w:val="24"/>
        </w:rPr>
      </w:pPr>
      <w:bookmarkStart w:id="92" w:name="_Toc229970433"/>
      <w:r>
        <w:rPr>
          <w:rFonts w:ascii="Times New Roman" w:hAnsi="Times New Roman" w:eastAsia="Times New Roman" w:cs="Times New Roman"/>
          <w:b/>
          <w:i/>
          <w:iCs/>
          <w:sz w:val="24"/>
          <w:szCs w:val="24"/>
        </w:rPr>
        <w:t xml:space="preserve">Table </w:t>
      </w:r>
      <w:r>
        <w:rPr>
          <w:rFonts w:ascii="Times New Roman" w:hAnsi="Times New Roman" w:eastAsia="Times New Roman" w:cs="Times New Roman"/>
          <w:b/>
          <w:i/>
          <w:iCs/>
          <w:sz w:val="24"/>
          <w:szCs w:val="24"/>
        </w:rPr>
        <w:fldChar w:fldCharType="begin"/>
      </w:r>
      <w:r>
        <w:rPr>
          <w:rFonts w:ascii="Times New Roman" w:hAnsi="Times New Roman" w:eastAsia="Times New Roman" w:cs="Times New Roman"/>
          <w:b/>
          <w:i/>
          <w:iCs/>
          <w:sz w:val="24"/>
          <w:szCs w:val="24"/>
        </w:rPr>
        <w:instrText xml:space="preserve"> SEQ Table \* ARABIC </w:instrText>
      </w:r>
      <w:r>
        <w:rPr>
          <w:rFonts w:ascii="Times New Roman" w:hAnsi="Times New Roman" w:eastAsia="Times New Roman" w:cs="Times New Roman"/>
          <w:b/>
          <w:i/>
          <w:iCs/>
          <w:sz w:val="24"/>
          <w:szCs w:val="24"/>
        </w:rPr>
        <w:fldChar w:fldCharType="separate"/>
      </w:r>
      <w:r>
        <w:rPr>
          <w:rFonts w:ascii="Times New Roman" w:hAnsi="Times New Roman" w:eastAsia="Times New Roman" w:cs="Times New Roman"/>
          <w:b/>
          <w:i/>
          <w:iCs/>
          <w:sz w:val="24"/>
          <w:szCs w:val="24"/>
        </w:rPr>
        <w:t>7</w:t>
      </w:r>
      <w:r>
        <w:rPr>
          <w:rFonts w:ascii="Times New Roman" w:hAnsi="Times New Roman" w:eastAsia="Times New Roman" w:cs="Times New Roman"/>
          <w:b/>
          <w:i/>
          <w:iCs/>
          <w:sz w:val="24"/>
          <w:szCs w:val="24"/>
        </w:rPr>
        <w:fldChar w:fldCharType="end"/>
      </w:r>
      <w:r>
        <w:rPr>
          <w:rFonts w:ascii="Times New Roman" w:hAnsi="Times New Roman" w:eastAsia="Times New Roman" w:cs="Times New Roman"/>
          <w:b/>
          <w:i/>
          <w:iCs/>
          <w:sz w:val="24"/>
          <w:szCs w:val="24"/>
        </w:rPr>
        <w:t>: Update on District Performance Indicators and Targets as at First Quarter 2026</w:t>
      </w:r>
      <w:bookmarkEnd w:id="92"/>
    </w:p>
    <w:tbl>
      <w:tblPr>
        <w:tblStyle w:val="6"/>
        <w:tblW w:w="15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2430"/>
        <w:gridCol w:w="2430"/>
        <w:gridCol w:w="1710"/>
        <w:gridCol w:w="1620"/>
        <w:gridCol w:w="1620"/>
        <w:gridCol w:w="1440"/>
        <w:gridCol w:w="1530"/>
        <w:gridCol w:w="1620"/>
      </w:tblGrid>
      <w:tr w14:paraId="7BD6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tcBorders>
              <w:top w:val="single" w:color="auto" w:sz="4" w:space="0"/>
              <w:left w:val="single" w:color="auto" w:sz="4" w:space="0"/>
              <w:bottom w:val="single" w:color="auto" w:sz="4" w:space="0"/>
              <w:right w:val="single" w:color="auto" w:sz="4" w:space="0"/>
            </w:tcBorders>
            <w:shd w:val="clear" w:color="auto" w:fill="BFBFBF"/>
            <w:vAlign w:val="center"/>
          </w:tcPr>
          <w:p w14:paraId="4F59B7D7">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S/N</w:t>
            </w:r>
          </w:p>
        </w:tc>
        <w:tc>
          <w:tcPr>
            <w:tcW w:w="2430" w:type="dxa"/>
            <w:tcBorders>
              <w:top w:val="single" w:color="auto" w:sz="4" w:space="0"/>
              <w:left w:val="single" w:color="auto" w:sz="4" w:space="0"/>
              <w:bottom w:val="single" w:color="auto" w:sz="4" w:space="0"/>
              <w:right w:val="single" w:color="auto" w:sz="4" w:space="0"/>
            </w:tcBorders>
            <w:shd w:val="clear" w:color="auto" w:fill="BFBFBF"/>
            <w:vAlign w:val="center"/>
          </w:tcPr>
          <w:p w14:paraId="3FEE975C">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 xml:space="preserve">Indicator (Categorised by Development Dimension </w:t>
            </w:r>
          </w:p>
        </w:tc>
        <w:tc>
          <w:tcPr>
            <w:tcW w:w="2430" w:type="dxa"/>
            <w:tcBorders>
              <w:top w:val="single" w:color="auto" w:sz="4" w:space="0"/>
              <w:left w:val="single" w:color="auto" w:sz="4" w:space="0"/>
              <w:bottom w:val="single" w:color="auto" w:sz="4" w:space="0"/>
              <w:right w:val="single" w:color="auto" w:sz="4" w:space="0"/>
            </w:tcBorders>
            <w:shd w:val="clear" w:color="auto" w:fill="BFBFBF"/>
          </w:tcPr>
          <w:p w14:paraId="3F317F9C">
            <w:pPr>
              <w:spacing w:after="0" w:line="240" w:lineRule="auto"/>
              <w:jc w:val="center"/>
              <w:rPr>
                <w:rFonts w:ascii="Times New Roman" w:hAnsi="Times New Roman" w:eastAsia="Times New Roman" w:cs="Times New Roman"/>
                <w:b/>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BFBFBF"/>
            <w:vAlign w:val="center"/>
          </w:tcPr>
          <w:p w14:paraId="68F95FAF">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BASE LINE 2022</w:t>
            </w:r>
          </w:p>
        </w:tc>
        <w:tc>
          <w:tcPr>
            <w:tcW w:w="1620" w:type="dxa"/>
            <w:tcBorders>
              <w:top w:val="single" w:color="auto" w:sz="4" w:space="0"/>
              <w:left w:val="single" w:color="auto" w:sz="4" w:space="0"/>
              <w:bottom w:val="single" w:color="auto" w:sz="4" w:space="0"/>
              <w:right w:val="single" w:color="auto" w:sz="4" w:space="0"/>
            </w:tcBorders>
            <w:shd w:val="clear" w:color="auto" w:fill="BFBFBF"/>
            <w:vAlign w:val="center"/>
          </w:tcPr>
          <w:p w14:paraId="41D89883">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Actual</w:t>
            </w:r>
          </w:p>
          <w:p w14:paraId="2D5FAE8F">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2023</w:t>
            </w:r>
          </w:p>
        </w:tc>
        <w:tc>
          <w:tcPr>
            <w:tcW w:w="1620" w:type="dxa"/>
            <w:tcBorders>
              <w:top w:val="single" w:color="auto" w:sz="4" w:space="0"/>
              <w:left w:val="single" w:color="auto" w:sz="4" w:space="0"/>
              <w:bottom w:val="single" w:color="auto" w:sz="4" w:space="0"/>
              <w:right w:val="single" w:color="auto" w:sz="4" w:space="0"/>
            </w:tcBorders>
            <w:shd w:val="clear" w:color="auto" w:fill="BFBFBF"/>
            <w:vAlign w:val="center"/>
          </w:tcPr>
          <w:p w14:paraId="4AB87D0A">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Actual 2024</w:t>
            </w:r>
          </w:p>
        </w:tc>
        <w:tc>
          <w:tcPr>
            <w:tcW w:w="1440" w:type="dxa"/>
            <w:shd w:val="clear" w:color="auto" w:fill="BEBEBE" w:themeFill="background1" w:themeFillShade="BF"/>
            <w:vAlign w:val="center"/>
          </w:tcPr>
          <w:p w14:paraId="22A1C15A">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sz w:val="20"/>
                <w:szCs w:val="20"/>
                <w:lang w:val="en-GB"/>
              </w:rPr>
              <w:t>Actual 202</w:t>
            </w:r>
            <w:r>
              <w:rPr>
                <w:rFonts w:ascii="Times New Roman" w:hAnsi="Times New Roman" w:eastAsia="Times New Roman" w:cs="Times New Roman"/>
                <w:b/>
                <w:sz w:val="20"/>
                <w:szCs w:val="20"/>
              </w:rPr>
              <w:t>5</w:t>
            </w:r>
          </w:p>
        </w:tc>
        <w:tc>
          <w:tcPr>
            <w:tcW w:w="1530" w:type="dxa"/>
            <w:shd w:val="clear" w:color="auto" w:fill="BFBFBF"/>
          </w:tcPr>
          <w:p w14:paraId="32834F92">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TARGET 2026</w:t>
            </w:r>
          </w:p>
          <w:p w14:paraId="72905E84">
            <w:pPr>
              <w:jc w:val="center"/>
              <w:rPr>
                <w:rFonts w:ascii="Times New Roman" w:hAnsi="Times New Roman" w:eastAsia="Times New Roman" w:cs="Times New Roman"/>
                <w:sz w:val="20"/>
                <w:szCs w:val="20"/>
              </w:rPr>
            </w:pPr>
          </w:p>
        </w:tc>
        <w:tc>
          <w:tcPr>
            <w:tcW w:w="1620" w:type="dxa"/>
            <w:shd w:val="clear" w:color="auto" w:fill="BFBFBF"/>
          </w:tcPr>
          <w:p w14:paraId="2786DCEC">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ACTUAL 1</w:t>
            </w:r>
            <w:r>
              <w:rPr>
                <w:rFonts w:ascii="Times New Roman" w:hAnsi="Times New Roman" w:eastAsia="Times New Roman" w:cs="Times New Roman"/>
                <w:b/>
                <w:bCs/>
                <w:sz w:val="20"/>
                <w:szCs w:val="20"/>
                <w:vertAlign w:val="superscript"/>
              </w:rPr>
              <w:t>ST</w:t>
            </w:r>
            <w:r>
              <w:rPr>
                <w:rFonts w:ascii="Times New Roman" w:hAnsi="Times New Roman" w:eastAsia="Times New Roman" w:cs="Times New Roman"/>
                <w:b/>
                <w:bCs/>
                <w:sz w:val="20"/>
                <w:szCs w:val="20"/>
              </w:rPr>
              <w:t xml:space="preserve">  QTR 2026</w:t>
            </w:r>
          </w:p>
        </w:tc>
      </w:tr>
      <w:tr w14:paraId="0E04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6130CF4C">
            <w:pPr>
              <w:spacing w:after="0" w:line="240" w:lineRule="auto"/>
              <w:jc w:val="center"/>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288D7DA3">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Economic Development</w:t>
            </w:r>
          </w:p>
        </w:tc>
        <w:tc>
          <w:tcPr>
            <w:tcW w:w="2430" w:type="dxa"/>
            <w:tcBorders>
              <w:top w:val="single" w:color="auto" w:sz="4" w:space="0"/>
              <w:left w:val="single" w:color="auto" w:sz="4" w:space="0"/>
              <w:bottom w:val="single" w:color="auto" w:sz="4" w:space="0"/>
              <w:right w:val="single" w:color="auto" w:sz="4" w:space="0"/>
            </w:tcBorders>
            <w:shd w:val="clear" w:color="auto" w:fill="FBE4D5" w:themeFill="accent2" w:themeFillTint="33"/>
          </w:tcPr>
          <w:p w14:paraId="5719A6B0">
            <w:pPr>
              <w:spacing w:after="0" w:line="240" w:lineRule="auto"/>
              <w:jc w:val="right"/>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0E1C8AED">
            <w:pPr>
              <w:spacing w:after="0" w:line="240" w:lineRule="auto"/>
              <w:jc w:val="center"/>
              <w:rPr>
                <w:rFonts w:ascii="Times New Roman" w:hAnsi="Times New Roman" w:eastAsia="Times New Roman" w:cs="Times New Roman"/>
                <w:sz w:val="20"/>
                <w:szCs w:val="20"/>
                <w:lang w:val="en-GB"/>
              </w:rPr>
            </w:pPr>
          </w:p>
        </w:tc>
        <w:tc>
          <w:tcPr>
            <w:tcW w:w="162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780A6988">
            <w:pPr>
              <w:spacing w:after="0" w:line="240" w:lineRule="auto"/>
              <w:jc w:val="center"/>
              <w:rPr>
                <w:rFonts w:ascii="Times New Roman" w:hAnsi="Times New Roman" w:eastAsia="Times New Roman" w:cs="Times New Roman"/>
                <w:sz w:val="20"/>
                <w:szCs w:val="20"/>
                <w:lang w:val="en-GB"/>
              </w:rPr>
            </w:pPr>
          </w:p>
        </w:tc>
        <w:tc>
          <w:tcPr>
            <w:tcW w:w="162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427F7287">
            <w:pPr>
              <w:spacing w:after="0" w:line="240" w:lineRule="auto"/>
              <w:jc w:val="center"/>
              <w:rPr>
                <w:rFonts w:ascii="Times New Roman" w:hAnsi="Times New Roman" w:eastAsia="Times New Roman" w:cs="Times New Roman"/>
                <w:sz w:val="20"/>
                <w:szCs w:val="20"/>
                <w:lang w:val="en-GB"/>
              </w:rPr>
            </w:pPr>
          </w:p>
        </w:tc>
        <w:tc>
          <w:tcPr>
            <w:tcW w:w="1440" w:type="dxa"/>
            <w:shd w:val="clear" w:color="auto" w:fill="FBE4D5" w:themeFill="accent2" w:themeFillTint="33"/>
            <w:vAlign w:val="center"/>
          </w:tcPr>
          <w:p w14:paraId="2E598314">
            <w:pPr>
              <w:spacing w:after="0" w:line="240" w:lineRule="auto"/>
              <w:jc w:val="center"/>
              <w:rPr>
                <w:rFonts w:ascii="Times New Roman" w:hAnsi="Times New Roman" w:eastAsia="Times New Roman" w:cs="Times New Roman"/>
                <w:sz w:val="20"/>
                <w:szCs w:val="20"/>
              </w:rPr>
            </w:pPr>
          </w:p>
        </w:tc>
        <w:tc>
          <w:tcPr>
            <w:tcW w:w="1530" w:type="dxa"/>
            <w:shd w:val="clear" w:color="auto" w:fill="FBE4D5" w:themeFill="accent2" w:themeFillTint="33"/>
          </w:tcPr>
          <w:p w14:paraId="3B066E88">
            <w:pPr>
              <w:spacing w:after="0" w:line="240" w:lineRule="auto"/>
              <w:jc w:val="center"/>
              <w:rPr>
                <w:rFonts w:ascii="Times New Roman" w:hAnsi="Times New Roman" w:eastAsia="Times New Roman" w:cs="Times New Roman"/>
                <w:sz w:val="20"/>
                <w:szCs w:val="20"/>
              </w:rPr>
            </w:pPr>
          </w:p>
        </w:tc>
        <w:tc>
          <w:tcPr>
            <w:tcW w:w="1620" w:type="dxa"/>
            <w:shd w:val="clear" w:color="auto" w:fill="FBE4D5" w:themeFill="accent2" w:themeFillTint="33"/>
          </w:tcPr>
          <w:p w14:paraId="00CB3033">
            <w:pPr>
              <w:spacing w:after="0" w:line="240" w:lineRule="auto"/>
              <w:jc w:val="center"/>
              <w:rPr>
                <w:rFonts w:ascii="Times New Roman" w:hAnsi="Times New Roman" w:eastAsia="Times New Roman" w:cs="Times New Roman"/>
                <w:sz w:val="20"/>
                <w:szCs w:val="20"/>
              </w:rPr>
            </w:pPr>
          </w:p>
        </w:tc>
      </w:tr>
      <w:tr w14:paraId="2EE7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25" w:type="dxa"/>
            <w:vMerge w:val="restart"/>
            <w:tcBorders>
              <w:top w:val="single" w:color="auto" w:sz="4" w:space="0"/>
              <w:left w:val="single" w:color="auto" w:sz="4" w:space="0"/>
              <w:bottom w:val="single" w:color="auto" w:sz="4" w:space="0"/>
              <w:right w:val="single" w:color="auto" w:sz="4" w:space="0"/>
            </w:tcBorders>
            <w:vAlign w:val="center"/>
          </w:tcPr>
          <w:p w14:paraId="69E0EFDE">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vAlign w:val="center"/>
          </w:tcPr>
          <w:p w14:paraId="755F127E">
            <w:pPr>
              <w:spacing w:after="0" w:line="276"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 output in agricultural production</w:t>
            </w:r>
          </w:p>
          <w:p w14:paraId="5B555113">
            <w:pPr>
              <w:spacing w:after="0" w:line="276" w:lineRule="auto"/>
              <w:ind w:left="720"/>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731435EB">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Maize</w:t>
            </w:r>
          </w:p>
        </w:tc>
        <w:tc>
          <w:tcPr>
            <w:tcW w:w="1710" w:type="dxa"/>
            <w:tcBorders>
              <w:top w:val="single" w:color="auto" w:sz="4" w:space="0"/>
              <w:left w:val="single" w:color="auto" w:sz="4" w:space="0"/>
              <w:bottom w:val="single" w:color="auto" w:sz="4" w:space="0"/>
              <w:right w:val="single" w:color="auto" w:sz="4" w:space="0"/>
            </w:tcBorders>
            <w:vAlign w:val="center"/>
          </w:tcPr>
          <w:p w14:paraId="6965676A">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3.0</w:t>
            </w:r>
          </w:p>
        </w:tc>
        <w:tc>
          <w:tcPr>
            <w:tcW w:w="1620" w:type="dxa"/>
            <w:tcBorders>
              <w:top w:val="single" w:color="auto" w:sz="4" w:space="0"/>
              <w:left w:val="single" w:color="auto" w:sz="4" w:space="0"/>
              <w:bottom w:val="single" w:color="auto" w:sz="4" w:space="0"/>
              <w:right w:val="single" w:color="auto" w:sz="4" w:space="0"/>
            </w:tcBorders>
            <w:vAlign w:val="center"/>
          </w:tcPr>
          <w:p w14:paraId="723D2ED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1.9</w:t>
            </w:r>
          </w:p>
        </w:tc>
        <w:tc>
          <w:tcPr>
            <w:tcW w:w="1620" w:type="dxa"/>
            <w:tcBorders>
              <w:top w:val="single" w:color="auto" w:sz="4" w:space="0"/>
              <w:left w:val="single" w:color="auto" w:sz="4" w:space="0"/>
              <w:bottom w:val="single" w:color="auto" w:sz="4" w:space="0"/>
              <w:right w:val="single" w:color="auto" w:sz="4" w:space="0"/>
            </w:tcBorders>
            <w:vAlign w:val="center"/>
          </w:tcPr>
          <w:p w14:paraId="303AC61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1.97</w:t>
            </w:r>
          </w:p>
        </w:tc>
        <w:tc>
          <w:tcPr>
            <w:tcW w:w="1440" w:type="dxa"/>
          </w:tcPr>
          <w:p w14:paraId="59CD83F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1.98</w:t>
            </w:r>
          </w:p>
        </w:tc>
        <w:tc>
          <w:tcPr>
            <w:tcW w:w="1530" w:type="dxa"/>
            <w:vAlign w:val="center"/>
          </w:tcPr>
          <w:p w14:paraId="3C4C9C5B">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2.0</w:t>
            </w:r>
          </w:p>
        </w:tc>
        <w:tc>
          <w:tcPr>
            <w:tcW w:w="1620" w:type="dxa"/>
          </w:tcPr>
          <w:p w14:paraId="6217320A">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61B4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025DEE20">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6884F0D4">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4F17DF7E">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Rice (milled),</w:t>
            </w:r>
          </w:p>
        </w:tc>
        <w:tc>
          <w:tcPr>
            <w:tcW w:w="1710" w:type="dxa"/>
            <w:tcBorders>
              <w:top w:val="single" w:color="auto" w:sz="4" w:space="0"/>
              <w:left w:val="single" w:color="auto" w:sz="4" w:space="0"/>
              <w:bottom w:val="single" w:color="auto" w:sz="4" w:space="0"/>
              <w:right w:val="single" w:color="auto" w:sz="4" w:space="0"/>
            </w:tcBorders>
            <w:vAlign w:val="center"/>
          </w:tcPr>
          <w:p w14:paraId="61E5B3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620" w:type="dxa"/>
            <w:tcBorders>
              <w:top w:val="single" w:color="auto" w:sz="4" w:space="0"/>
              <w:left w:val="single" w:color="auto" w:sz="4" w:space="0"/>
              <w:bottom w:val="single" w:color="auto" w:sz="4" w:space="0"/>
              <w:right w:val="single" w:color="auto" w:sz="4" w:space="0"/>
            </w:tcBorders>
            <w:vAlign w:val="center"/>
          </w:tcPr>
          <w:p w14:paraId="4424F1D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3.4</w:t>
            </w:r>
          </w:p>
        </w:tc>
        <w:tc>
          <w:tcPr>
            <w:tcW w:w="1620" w:type="dxa"/>
            <w:tcBorders>
              <w:top w:val="single" w:color="auto" w:sz="4" w:space="0"/>
              <w:left w:val="single" w:color="auto" w:sz="4" w:space="0"/>
              <w:bottom w:val="single" w:color="auto" w:sz="4" w:space="0"/>
              <w:right w:val="single" w:color="auto" w:sz="4" w:space="0"/>
            </w:tcBorders>
            <w:vAlign w:val="center"/>
          </w:tcPr>
          <w:p w14:paraId="585EE75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3.6</w:t>
            </w:r>
          </w:p>
        </w:tc>
        <w:tc>
          <w:tcPr>
            <w:tcW w:w="1440" w:type="dxa"/>
          </w:tcPr>
          <w:p w14:paraId="4BDD3EA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3.9</w:t>
            </w:r>
          </w:p>
        </w:tc>
        <w:tc>
          <w:tcPr>
            <w:tcW w:w="1530" w:type="dxa"/>
            <w:vAlign w:val="center"/>
          </w:tcPr>
          <w:p w14:paraId="01B99544">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3.8</w:t>
            </w:r>
          </w:p>
        </w:tc>
        <w:tc>
          <w:tcPr>
            <w:tcW w:w="1620" w:type="dxa"/>
          </w:tcPr>
          <w:p w14:paraId="47A00A33">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763A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560B61A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0DAEBB62">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0357656A">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Millet</w:t>
            </w:r>
          </w:p>
        </w:tc>
        <w:tc>
          <w:tcPr>
            <w:tcW w:w="1710" w:type="dxa"/>
            <w:tcBorders>
              <w:top w:val="single" w:color="auto" w:sz="4" w:space="0"/>
              <w:left w:val="single" w:color="auto" w:sz="4" w:space="0"/>
              <w:bottom w:val="single" w:color="auto" w:sz="4" w:space="0"/>
              <w:right w:val="single" w:color="auto" w:sz="4" w:space="0"/>
            </w:tcBorders>
            <w:vAlign w:val="center"/>
          </w:tcPr>
          <w:p w14:paraId="4ADA399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30DF7A5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08664A4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573D6A3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6A210F61">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c>
          <w:tcPr>
            <w:tcW w:w="1620" w:type="dxa"/>
          </w:tcPr>
          <w:p w14:paraId="1157F40D">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0D26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7C9DAD8">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55DD5B2C">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27FF847F">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Sorghum</w:t>
            </w:r>
          </w:p>
        </w:tc>
        <w:tc>
          <w:tcPr>
            <w:tcW w:w="1710" w:type="dxa"/>
            <w:tcBorders>
              <w:top w:val="single" w:color="auto" w:sz="4" w:space="0"/>
              <w:left w:val="single" w:color="auto" w:sz="4" w:space="0"/>
              <w:bottom w:val="single" w:color="auto" w:sz="4" w:space="0"/>
              <w:right w:val="single" w:color="auto" w:sz="4" w:space="0"/>
            </w:tcBorders>
            <w:vAlign w:val="center"/>
          </w:tcPr>
          <w:p w14:paraId="108AC9FE">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3773BE2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6E53F1A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256A990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057DFAC4">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c>
          <w:tcPr>
            <w:tcW w:w="1620" w:type="dxa"/>
          </w:tcPr>
          <w:p w14:paraId="4D09D46B">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5CC2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A8FCD38">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69C0A6FF">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1ED373AF">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Cassava</w:t>
            </w:r>
          </w:p>
        </w:tc>
        <w:tc>
          <w:tcPr>
            <w:tcW w:w="1710" w:type="dxa"/>
            <w:tcBorders>
              <w:top w:val="single" w:color="auto" w:sz="4" w:space="0"/>
              <w:left w:val="single" w:color="auto" w:sz="4" w:space="0"/>
              <w:bottom w:val="single" w:color="auto" w:sz="4" w:space="0"/>
              <w:right w:val="single" w:color="auto" w:sz="4" w:space="0"/>
            </w:tcBorders>
            <w:vAlign w:val="center"/>
          </w:tcPr>
          <w:p w14:paraId="3109BB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1620" w:type="dxa"/>
            <w:tcBorders>
              <w:top w:val="single" w:color="auto" w:sz="4" w:space="0"/>
              <w:left w:val="single" w:color="auto" w:sz="4" w:space="0"/>
              <w:bottom w:val="single" w:color="auto" w:sz="4" w:space="0"/>
              <w:right w:val="single" w:color="auto" w:sz="4" w:space="0"/>
            </w:tcBorders>
            <w:vAlign w:val="center"/>
          </w:tcPr>
          <w:p w14:paraId="5D66DBB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22.4</w:t>
            </w:r>
          </w:p>
        </w:tc>
        <w:tc>
          <w:tcPr>
            <w:tcW w:w="1620" w:type="dxa"/>
            <w:tcBorders>
              <w:top w:val="single" w:color="auto" w:sz="4" w:space="0"/>
              <w:left w:val="single" w:color="auto" w:sz="4" w:space="0"/>
              <w:bottom w:val="single" w:color="auto" w:sz="4" w:space="0"/>
              <w:right w:val="single" w:color="auto" w:sz="4" w:space="0"/>
            </w:tcBorders>
            <w:vAlign w:val="center"/>
          </w:tcPr>
          <w:p w14:paraId="4E080D5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rPr>
              <w:t>N/A</w:t>
            </w:r>
          </w:p>
        </w:tc>
        <w:tc>
          <w:tcPr>
            <w:tcW w:w="1440" w:type="dxa"/>
          </w:tcPr>
          <w:p w14:paraId="25F59BB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vAlign w:val="center"/>
          </w:tcPr>
          <w:p w14:paraId="5A63FA79">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22.5</w:t>
            </w:r>
          </w:p>
        </w:tc>
        <w:tc>
          <w:tcPr>
            <w:tcW w:w="1620" w:type="dxa"/>
          </w:tcPr>
          <w:p w14:paraId="488CCDDF">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5EF3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5CC27F0">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7424F0C9">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48363D9D">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Yam</w:t>
            </w:r>
          </w:p>
        </w:tc>
        <w:tc>
          <w:tcPr>
            <w:tcW w:w="1710" w:type="dxa"/>
            <w:tcBorders>
              <w:top w:val="single" w:color="auto" w:sz="4" w:space="0"/>
              <w:left w:val="single" w:color="auto" w:sz="4" w:space="0"/>
              <w:bottom w:val="single" w:color="auto" w:sz="4" w:space="0"/>
              <w:right w:val="single" w:color="auto" w:sz="4" w:space="0"/>
            </w:tcBorders>
            <w:vAlign w:val="center"/>
          </w:tcPr>
          <w:p w14:paraId="63E68D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620" w:type="dxa"/>
            <w:tcBorders>
              <w:top w:val="single" w:color="auto" w:sz="4" w:space="0"/>
              <w:left w:val="single" w:color="auto" w:sz="4" w:space="0"/>
              <w:bottom w:val="single" w:color="auto" w:sz="4" w:space="0"/>
              <w:right w:val="single" w:color="auto" w:sz="4" w:space="0"/>
            </w:tcBorders>
            <w:vAlign w:val="center"/>
          </w:tcPr>
          <w:p w14:paraId="1ED9A15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w:t>
            </w:r>
          </w:p>
        </w:tc>
        <w:tc>
          <w:tcPr>
            <w:tcW w:w="1620" w:type="dxa"/>
            <w:tcBorders>
              <w:top w:val="single" w:color="auto" w:sz="4" w:space="0"/>
              <w:left w:val="single" w:color="auto" w:sz="4" w:space="0"/>
              <w:bottom w:val="single" w:color="auto" w:sz="4" w:space="0"/>
              <w:right w:val="single" w:color="auto" w:sz="4" w:space="0"/>
            </w:tcBorders>
            <w:vAlign w:val="center"/>
          </w:tcPr>
          <w:p w14:paraId="1E0EB01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Pr>
          <w:p w14:paraId="3485378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8.4</w:t>
            </w:r>
          </w:p>
        </w:tc>
        <w:tc>
          <w:tcPr>
            <w:tcW w:w="1530" w:type="dxa"/>
            <w:vAlign w:val="center"/>
          </w:tcPr>
          <w:p w14:paraId="75AFBDC2">
            <w:pPr>
              <w:spacing w:after="0" w:line="360" w:lineRule="auto"/>
              <w:jc w:val="center"/>
              <w:rPr>
                <w:rFonts w:ascii="Times New Roman" w:hAnsi="Times New Roman" w:eastAsia="Calibri" w:cs="Times New Roman"/>
                <w:sz w:val="20"/>
                <w:szCs w:val="20"/>
              </w:rPr>
            </w:pPr>
            <w:r>
              <w:rPr>
                <w:rFonts w:ascii="Times New Roman" w:hAnsi="Times New Roman" w:eastAsia="Times New Roman" w:cs="Times New Roman"/>
                <w:sz w:val="20"/>
                <w:szCs w:val="20"/>
                <w:lang w:val="en-GB"/>
              </w:rPr>
              <w:t>N/A</w:t>
            </w:r>
          </w:p>
        </w:tc>
        <w:tc>
          <w:tcPr>
            <w:tcW w:w="1620" w:type="dxa"/>
          </w:tcPr>
          <w:p w14:paraId="720FB083">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633C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F9A7C99">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24AADB71">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49B13A11">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Cocoyam</w:t>
            </w:r>
          </w:p>
        </w:tc>
        <w:tc>
          <w:tcPr>
            <w:tcW w:w="1710" w:type="dxa"/>
            <w:tcBorders>
              <w:top w:val="single" w:color="auto" w:sz="4" w:space="0"/>
              <w:left w:val="single" w:color="auto" w:sz="4" w:space="0"/>
              <w:bottom w:val="single" w:color="auto" w:sz="4" w:space="0"/>
              <w:right w:val="single" w:color="auto" w:sz="4" w:space="0"/>
            </w:tcBorders>
            <w:vAlign w:val="center"/>
          </w:tcPr>
          <w:p w14:paraId="2F0D8A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620" w:type="dxa"/>
            <w:tcBorders>
              <w:top w:val="single" w:color="auto" w:sz="4" w:space="0"/>
              <w:left w:val="single" w:color="auto" w:sz="4" w:space="0"/>
              <w:bottom w:val="single" w:color="auto" w:sz="4" w:space="0"/>
              <w:right w:val="single" w:color="auto" w:sz="4" w:space="0"/>
            </w:tcBorders>
            <w:vAlign w:val="center"/>
          </w:tcPr>
          <w:p w14:paraId="3599426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11.1</w:t>
            </w:r>
          </w:p>
        </w:tc>
        <w:tc>
          <w:tcPr>
            <w:tcW w:w="1620" w:type="dxa"/>
            <w:tcBorders>
              <w:top w:val="single" w:color="auto" w:sz="4" w:space="0"/>
              <w:left w:val="single" w:color="auto" w:sz="4" w:space="0"/>
              <w:bottom w:val="single" w:color="auto" w:sz="4" w:space="0"/>
              <w:right w:val="single" w:color="auto" w:sz="4" w:space="0"/>
            </w:tcBorders>
            <w:vAlign w:val="center"/>
          </w:tcPr>
          <w:p w14:paraId="5395625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Pr>
          <w:p w14:paraId="24EAF6F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vAlign w:val="center"/>
          </w:tcPr>
          <w:p w14:paraId="6511BE51">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8</w:t>
            </w:r>
          </w:p>
        </w:tc>
        <w:tc>
          <w:tcPr>
            <w:tcW w:w="1620" w:type="dxa"/>
          </w:tcPr>
          <w:p w14:paraId="74BF2009">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005B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292276E">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2BFF7989">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02E636B1">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Plantain</w:t>
            </w:r>
          </w:p>
        </w:tc>
        <w:tc>
          <w:tcPr>
            <w:tcW w:w="1710" w:type="dxa"/>
            <w:tcBorders>
              <w:top w:val="single" w:color="auto" w:sz="4" w:space="0"/>
              <w:left w:val="single" w:color="auto" w:sz="4" w:space="0"/>
              <w:bottom w:val="single" w:color="auto" w:sz="4" w:space="0"/>
              <w:right w:val="single" w:color="auto" w:sz="4" w:space="0"/>
            </w:tcBorders>
            <w:vAlign w:val="center"/>
          </w:tcPr>
          <w:p w14:paraId="54CCE7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1620" w:type="dxa"/>
            <w:tcBorders>
              <w:top w:val="single" w:color="auto" w:sz="4" w:space="0"/>
              <w:left w:val="single" w:color="auto" w:sz="4" w:space="0"/>
              <w:bottom w:val="single" w:color="auto" w:sz="4" w:space="0"/>
              <w:right w:val="single" w:color="auto" w:sz="4" w:space="0"/>
            </w:tcBorders>
            <w:vAlign w:val="center"/>
          </w:tcPr>
          <w:p w14:paraId="53D783F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11.1</w:t>
            </w:r>
          </w:p>
        </w:tc>
        <w:tc>
          <w:tcPr>
            <w:tcW w:w="1620" w:type="dxa"/>
            <w:tcBorders>
              <w:top w:val="single" w:color="auto" w:sz="4" w:space="0"/>
              <w:left w:val="single" w:color="auto" w:sz="4" w:space="0"/>
              <w:bottom w:val="single" w:color="auto" w:sz="4" w:space="0"/>
              <w:right w:val="single" w:color="auto" w:sz="4" w:space="0"/>
            </w:tcBorders>
            <w:vAlign w:val="center"/>
          </w:tcPr>
          <w:p w14:paraId="0DED6D4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12.2</w:t>
            </w:r>
          </w:p>
        </w:tc>
        <w:tc>
          <w:tcPr>
            <w:tcW w:w="1440" w:type="dxa"/>
          </w:tcPr>
          <w:p w14:paraId="6885DD2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12.89</w:t>
            </w:r>
          </w:p>
        </w:tc>
        <w:tc>
          <w:tcPr>
            <w:tcW w:w="1530" w:type="dxa"/>
            <w:vAlign w:val="center"/>
          </w:tcPr>
          <w:p w14:paraId="728259B7">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11.5</w:t>
            </w:r>
          </w:p>
        </w:tc>
        <w:tc>
          <w:tcPr>
            <w:tcW w:w="1620" w:type="dxa"/>
          </w:tcPr>
          <w:p w14:paraId="0DB8A9EF">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6F53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624872AD">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10643F87">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70E5D663">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Groundnut</w:t>
            </w:r>
          </w:p>
        </w:tc>
        <w:tc>
          <w:tcPr>
            <w:tcW w:w="1710" w:type="dxa"/>
            <w:tcBorders>
              <w:top w:val="single" w:color="auto" w:sz="4" w:space="0"/>
              <w:left w:val="single" w:color="auto" w:sz="4" w:space="0"/>
              <w:bottom w:val="single" w:color="auto" w:sz="4" w:space="0"/>
              <w:right w:val="single" w:color="auto" w:sz="4" w:space="0"/>
            </w:tcBorders>
            <w:vAlign w:val="center"/>
          </w:tcPr>
          <w:p w14:paraId="3C5E849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1111224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595C783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4B7DF82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3AA5E64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tcPr>
          <w:p w14:paraId="097F2FA5">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5815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7443DA14">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6A123284">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5728D887">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Cowpea</w:t>
            </w:r>
          </w:p>
        </w:tc>
        <w:tc>
          <w:tcPr>
            <w:tcW w:w="1710" w:type="dxa"/>
            <w:tcBorders>
              <w:top w:val="single" w:color="auto" w:sz="4" w:space="0"/>
              <w:left w:val="single" w:color="auto" w:sz="4" w:space="0"/>
              <w:bottom w:val="single" w:color="auto" w:sz="4" w:space="0"/>
              <w:right w:val="single" w:color="auto" w:sz="4" w:space="0"/>
            </w:tcBorders>
            <w:vAlign w:val="center"/>
          </w:tcPr>
          <w:p w14:paraId="5507A66E">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2188BFAD">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162E110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0050612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26AC220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tcPr>
          <w:p w14:paraId="34A27954">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7AE9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4911B7E4">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47C892A0">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74ADD412">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Soybean</w:t>
            </w:r>
          </w:p>
        </w:tc>
        <w:tc>
          <w:tcPr>
            <w:tcW w:w="1710" w:type="dxa"/>
            <w:tcBorders>
              <w:top w:val="single" w:color="auto" w:sz="4" w:space="0"/>
              <w:left w:val="single" w:color="auto" w:sz="4" w:space="0"/>
              <w:bottom w:val="single" w:color="auto" w:sz="4" w:space="0"/>
              <w:right w:val="single" w:color="auto" w:sz="4" w:space="0"/>
            </w:tcBorders>
            <w:vAlign w:val="center"/>
          </w:tcPr>
          <w:p w14:paraId="4BADAF79">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61319563">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463CEE6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2A92AD6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5813F76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tcPr>
          <w:p w14:paraId="1107FFB8">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138D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7CCDC7C2">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7D754972">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178F90E1">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Cocoa</w:t>
            </w:r>
          </w:p>
        </w:tc>
        <w:tc>
          <w:tcPr>
            <w:tcW w:w="1710" w:type="dxa"/>
            <w:tcBorders>
              <w:top w:val="single" w:color="auto" w:sz="4" w:space="0"/>
              <w:left w:val="single" w:color="auto" w:sz="4" w:space="0"/>
              <w:bottom w:val="single" w:color="auto" w:sz="4" w:space="0"/>
              <w:right w:val="single" w:color="auto" w:sz="4" w:space="0"/>
            </w:tcBorders>
            <w:vAlign w:val="center"/>
          </w:tcPr>
          <w:p w14:paraId="79B5C1F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4CDEB303">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16866038">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3C260DE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1AF0FED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tcPr>
          <w:p w14:paraId="2A6C3081">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2637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8A14CFF">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1F13B3D2">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51E64951">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Shea nut</w:t>
            </w:r>
          </w:p>
        </w:tc>
        <w:tc>
          <w:tcPr>
            <w:tcW w:w="1710" w:type="dxa"/>
            <w:tcBorders>
              <w:top w:val="single" w:color="auto" w:sz="4" w:space="0"/>
              <w:left w:val="single" w:color="auto" w:sz="4" w:space="0"/>
              <w:bottom w:val="single" w:color="auto" w:sz="4" w:space="0"/>
              <w:right w:val="single" w:color="auto" w:sz="4" w:space="0"/>
            </w:tcBorders>
            <w:vAlign w:val="center"/>
          </w:tcPr>
          <w:p w14:paraId="0A9793F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74139DD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2F9BA676">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014DD6D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22386F2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tcPr>
          <w:p w14:paraId="6A0D95C4">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4953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A5E565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50223AAA">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4C317269">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Oil palm</w:t>
            </w:r>
          </w:p>
        </w:tc>
        <w:tc>
          <w:tcPr>
            <w:tcW w:w="1710" w:type="dxa"/>
            <w:tcBorders>
              <w:top w:val="single" w:color="auto" w:sz="4" w:space="0"/>
              <w:left w:val="single" w:color="auto" w:sz="4" w:space="0"/>
              <w:bottom w:val="single" w:color="auto" w:sz="4" w:space="0"/>
              <w:right w:val="single" w:color="auto" w:sz="4" w:space="0"/>
            </w:tcBorders>
            <w:vAlign w:val="center"/>
          </w:tcPr>
          <w:p w14:paraId="1FFEFA2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13CF024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620" w:type="dxa"/>
            <w:tcBorders>
              <w:top w:val="single" w:color="auto" w:sz="4" w:space="0"/>
              <w:left w:val="single" w:color="auto" w:sz="4" w:space="0"/>
              <w:bottom w:val="single" w:color="auto" w:sz="4" w:space="0"/>
              <w:right w:val="single" w:color="auto" w:sz="4" w:space="0"/>
            </w:tcBorders>
            <w:vAlign w:val="center"/>
          </w:tcPr>
          <w:p w14:paraId="0798524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440" w:type="dxa"/>
          </w:tcPr>
          <w:p w14:paraId="7998ABB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Pr>
          <w:p w14:paraId="710010A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tcPr>
          <w:p w14:paraId="2A8B9EAD">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68BD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145C8AD7">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3D4717C6">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6B67CD36">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Cashew nut</w:t>
            </w:r>
          </w:p>
        </w:tc>
        <w:tc>
          <w:tcPr>
            <w:tcW w:w="1710" w:type="dxa"/>
            <w:tcBorders>
              <w:top w:val="single" w:color="auto" w:sz="4" w:space="0"/>
              <w:left w:val="single" w:color="auto" w:sz="4" w:space="0"/>
              <w:bottom w:val="single" w:color="auto" w:sz="4" w:space="0"/>
              <w:right w:val="single" w:color="auto" w:sz="4" w:space="0"/>
            </w:tcBorders>
            <w:vAlign w:val="center"/>
          </w:tcPr>
          <w:p w14:paraId="083878FF">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7.4</w:t>
            </w:r>
          </w:p>
        </w:tc>
        <w:tc>
          <w:tcPr>
            <w:tcW w:w="1620" w:type="dxa"/>
            <w:tcBorders>
              <w:top w:val="single" w:color="auto" w:sz="4" w:space="0"/>
              <w:left w:val="single" w:color="auto" w:sz="4" w:space="0"/>
              <w:bottom w:val="single" w:color="auto" w:sz="4" w:space="0"/>
              <w:right w:val="single" w:color="auto" w:sz="4" w:space="0"/>
            </w:tcBorders>
            <w:vAlign w:val="center"/>
          </w:tcPr>
          <w:p w14:paraId="7986832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13.2</w:t>
            </w:r>
          </w:p>
        </w:tc>
        <w:tc>
          <w:tcPr>
            <w:tcW w:w="1620" w:type="dxa"/>
            <w:tcBorders>
              <w:top w:val="single" w:color="auto" w:sz="4" w:space="0"/>
              <w:left w:val="single" w:color="auto" w:sz="4" w:space="0"/>
              <w:bottom w:val="single" w:color="auto" w:sz="4" w:space="0"/>
              <w:right w:val="single" w:color="auto" w:sz="4" w:space="0"/>
            </w:tcBorders>
            <w:vAlign w:val="center"/>
          </w:tcPr>
          <w:p w14:paraId="3862A26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14.2</w:t>
            </w:r>
          </w:p>
        </w:tc>
        <w:tc>
          <w:tcPr>
            <w:tcW w:w="1440" w:type="dxa"/>
          </w:tcPr>
          <w:p w14:paraId="3AFCE91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14.58</w:t>
            </w:r>
          </w:p>
        </w:tc>
        <w:tc>
          <w:tcPr>
            <w:tcW w:w="1530" w:type="dxa"/>
          </w:tcPr>
          <w:p w14:paraId="1387D10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13.5</w:t>
            </w:r>
          </w:p>
        </w:tc>
        <w:tc>
          <w:tcPr>
            <w:tcW w:w="1620" w:type="dxa"/>
          </w:tcPr>
          <w:p w14:paraId="5C69FA8A">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5769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43E0CF3D">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227B41B6">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6D94A1D4">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Cotton</w:t>
            </w:r>
          </w:p>
        </w:tc>
        <w:tc>
          <w:tcPr>
            <w:tcW w:w="1710" w:type="dxa"/>
            <w:tcBorders>
              <w:top w:val="single" w:color="auto" w:sz="4" w:space="0"/>
              <w:left w:val="single" w:color="auto" w:sz="4" w:space="0"/>
              <w:bottom w:val="single" w:color="auto" w:sz="4" w:space="0"/>
              <w:right w:val="single" w:color="auto" w:sz="4" w:space="0"/>
            </w:tcBorders>
            <w:vAlign w:val="center"/>
          </w:tcPr>
          <w:p w14:paraId="7A11437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213</w:t>
            </w:r>
          </w:p>
        </w:tc>
        <w:tc>
          <w:tcPr>
            <w:tcW w:w="1620" w:type="dxa"/>
            <w:tcBorders>
              <w:top w:val="single" w:color="auto" w:sz="4" w:space="0"/>
              <w:left w:val="single" w:color="auto" w:sz="4" w:space="0"/>
              <w:bottom w:val="single" w:color="auto" w:sz="4" w:space="0"/>
              <w:right w:val="single" w:color="auto" w:sz="4" w:space="0"/>
            </w:tcBorders>
            <w:vAlign w:val="center"/>
          </w:tcPr>
          <w:p w14:paraId="03570DD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398</w:t>
            </w:r>
          </w:p>
        </w:tc>
        <w:tc>
          <w:tcPr>
            <w:tcW w:w="1620" w:type="dxa"/>
            <w:tcBorders>
              <w:top w:val="single" w:color="auto" w:sz="4" w:space="0"/>
              <w:left w:val="single" w:color="auto" w:sz="4" w:space="0"/>
              <w:bottom w:val="single" w:color="auto" w:sz="4" w:space="0"/>
              <w:right w:val="single" w:color="auto" w:sz="4" w:space="0"/>
            </w:tcBorders>
            <w:vAlign w:val="center"/>
          </w:tcPr>
          <w:p w14:paraId="3DB9EB0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2,443</w:t>
            </w:r>
          </w:p>
        </w:tc>
        <w:tc>
          <w:tcPr>
            <w:tcW w:w="1440" w:type="dxa"/>
            <w:tcBorders>
              <w:top w:val="single" w:color="auto" w:sz="4" w:space="0"/>
              <w:left w:val="single" w:color="auto" w:sz="4" w:space="0"/>
              <w:bottom w:val="single" w:color="auto" w:sz="4" w:space="0"/>
              <w:right w:val="single" w:color="auto" w:sz="4" w:space="0"/>
            </w:tcBorders>
            <w:vAlign w:val="center"/>
          </w:tcPr>
          <w:p w14:paraId="207B7A0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2,443</w:t>
            </w:r>
          </w:p>
        </w:tc>
        <w:tc>
          <w:tcPr>
            <w:tcW w:w="1530" w:type="dxa"/>
            <w:tcBorders>
              <w:left w:val="single" w:color="auto" w:sz="4" w:space="0"/>
              <w:right w:val="single" w:color="auto" w:sz="4" w:space="0"/>
            </w:tcBorders>
            <w:vAlign w:val="center"/>
          </w:tcPr>
          <w:p w14:paraId="3C049D95">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500</w:t>
            </w:r>
          </w:p>
        </w:tc>
        <w:tc>
          <w:tcPr>
            <w:tcW w:w="1620" w:type="dxa"/>
            <w:tcBorders>
              <w:left w:val="single" w:color="auto" w:sz="4" w:space="0"/>
              <w:right w:val="single" w:color="auto" w:sz="4" w:space="0"/>
            </w:tcBorders>
          </w:tcPr>
          <w:p w14:paraId="181E2477">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1B82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093AA29A">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297CAC5D">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2EED2B07">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Cattle</w:t>
            </w:r>
          </w:p>
        </w:tc>
        <w:tc>
          <w:tcPr>
            <w:tcW w:w="1710" w:type="dxa"/>
            <w:tcBorders>
              <w:top w:val="single" w:color="auto" w:sz="4" w:space="0"/>
              <w:left w:val="single" w:color="auto" w:sz="4" w:space="0"/>
              <w:bottom w:val="single" w:color="auto" w:sz="4" w:space="0"/>
              <w:right w:val="single" w:color="auto" w:sz="4" w:space="0"/>
            </w:tcBorders>
            <w:vAlign w:val="center"/>
          </w:tcPr>
          <w:p w14:paraId="5B986AB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4,254</w:t>
            </w:r>
          </w:p>
        </w:tc>
        <w:tc>
          <w:tcPr>
            <w:tcW w:w="1620" w:type="dxa"/>
            <w:tcBorders>
              <w:top w:val="single" w:color="auto" w:sz="4" w:space="0"/>
              <w:left w:val="single" w:color="auto" w:sz="4" w:space="0"/>
              <w:bottom w:val="single" w:color="auto" w:sz="4" w:space="0"/>
              <w:right w:val="single" w:color="auto" w:sz="4" w:space="0"/>
            </w:tcBorders>
            <w:vAlign w:val="center"/>
          </w:tcPr>
          <w:p w14:paraId="0142805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7,757</w:t>
            </w:r>
          </w:p>
        </w:tc>
        <w:tc>
          <w:tcPr>
            <w:tcW w:w="1620" w:type="dxa"/>
            <w:tcBorders>
              <w:top w:val="single" w:color="auto" w:sz="4" w:space="0"/>
              <w:left w:val="single" w:color="auto" w:sz="4" w:space="0"/>
              <w:bottom w:val="single" w:color="auto" w:sz="4" w:space="0"/>
              <w:right w:val="single" w:color="auto" w:sz="4" w:space="0"/>
            </w:tcBorders>
            <w:vAlign w:val="center"/>
          </w:tcPr>
          <w:p w14:paraId="6F415FB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11,336</w:t>
            </w:r>
          </w:p>
        </w:tc>
        <w:tc>
          <w:tcPr>
            <w:tcW w:w="1440" w:type="dxa"/>
            <w:tcBorders>
              <w:top w:val="single" w:color="auto" w:sz="4" w:space="0"/>
              <w:left w:val="single" w:color="auto" w:sz="4" w:space="0"/>
              <w:bottom w:val="single" w:color="auto" w:sz="4" w:space="0"/>
              <w:right w:val="single" w:color="auto" w:sz="4" w:space="0"/>
            </w:tcBorders>
            <w:vAlign w:val="center"/>
          </w:tcPr>
          <w:p w14:paraId="3A02DE5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11,336</w:t>
            </w:r>
          </w:p>
        </w:tc>
        <w:tc>
          <w:tcPr>
            <w:tcW w:w="1530" w:type="dxa"/>
            <w:tcBorders>
              <w:left w:val="single" w:color="auto" w:sz="4" w:space="0"/>
              <w:right w:val="single" w:color="auto" w:sz="4" w:space="0"/>
            </w:tcBorders>
            <w:vAlign w:val="center"/>
          </w:tcPr>
          <w:p w14:paraId="1B182DE2">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8,000</w:t>
            </w:r>
          </w:p>
        </w:tc>
        <w:tc>
          <w:tcPr>
            <w:tcW w:w="1620" w:type="dxa"/>
            <w:tcBorders>
              <w:left w:val="single" w:color="auto" w:sz="4" w:space="0"/>
              <w:right w:val="single" w:color="auto" w:sz="4" w:space="0"/>
            </w:tcBorders>
          </w:tcPr>
          <w:p w14:paraId="09A50A20">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4C95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6BB8230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122555DC">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3D5B8BF3">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Sheep</w:t>
            </w:r>
          </w:p>
        </w:tc>
        <w:tc>
          <w:tcPr>
            <w:tcW w:w="1710" w:type="dxa"/>
            <w:tcBorders>
              <w:top w:val="single" w:color="auto" w:sz="4" w:space="0"/>
              <w:left w:val="single" w:color="auto" w:sz="4" w:space="0"/>
              <w:bottom w:val="single" w:color="auto" w:sz="4" w:space="0"/>
              <w:right w:val="single" w:color="auto" w:sz="4" w:space="0"/>
            </w:tcBorders>
            <w:vAlign w:val="center"/>
          </w:tcPr>
          <w:p w14:paraId="7C14B78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6,547</w:t>
            </w:r>
          </w:p>
        </w:tc>
        <w:tc>
          <w:tcPr>
            <w:tcW w:w="1620" w:type="dxa"/>
            <w:tcBorders>
              <w:top w:val="single" w:color="auto" w:sz="4" w:space="0"/>
              <w:left w:val="single" w:color="auto" w:sz="4" w:space="0"/>
              <w:bottom w:val="single" w:color="auto" w:sz="4" w:space="0"/>
              <w:right w:val="single" w:color="auto" w:sz="4" w:space="0"/>
            </w:tcBorders>
            <w:vAlign w:val="center"/>
          </w:tcPr>
          <w:p w14:paraId="41D09B9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7,657</w:t>
            </w:r>
          </w:p>
        </w:tc>
        <w:tc>
          <w:tcPr>
            <w:tcW w:w="1620" w:type="dxa"/>
            <w:tcBorders>
              <w:top w:val="single" w:color="auto" w:sz="4" w:space="0"/>
              <w:left w:val="single" w:color="auto" w:sz="4" w:space="0"/>
              <w:bottom w:val="single" w:color="auto" w:sz="4" w:space="0"/>
              <w:right w:val="single" w:color="auto" w:sz="4" w:space="0"/>
            </w:tcBorders>
            <w:vAlign w:val="center"/>
          </w:tcPr>
          <w:p w14:paraId="7AEEC87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13,402</w:t>
            </w:r>
          </w:p>
        </w:tc>
        <w:tc>
          <w:tcPr>
            <w:tcW w:w="1440" w:type="dxa"/>
            <w:tcBorders>
              <w:top w:val="single" w:color="auto" w:sz="4" w:space="0"/>
              <w:left w:val="single" w:color="auto" w:sz="4" w:space="0"/>
              <w:bottom w:val="single" w:color="auto" w:sz="4" w:space="0"/>
              <w:right w:val="single" w:color="auto" w:sz="4" w:space="0"/>
            </w:tcBorders>
            <w:vAlign w:val="center"/>
          </w:tcPr>
          <w:p w14:paraId="358CCBA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13,402</w:t>
            </w:r>
          </w:p>
        </w:tc>
        <w:tc>
          <w:tcPr>
            <w:tcW w:w="1530" w:type="dxa"/>
            <w:tcBorders>
              <w:left w:val="single" w:color="auto" w:sz="4" w:space="0"/>
              <w:right w:val="single" w:color="auto" w:sz="4" w:space="0"/>
            </w:tcBorders>
            <w:vAlign w:val="center"/>
          </w:tcPr>
          <w:p w14:paraId="756CB009">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9,000</w:t>
            </w:r>
          </w:p>
        </w:tc>
        <w:tc>
          <w:tcPr>
            <w:tcW w:w="1620" w:type="dxa"/>
            <w:tcBorders>
              <w:left w:val="single" w:color="auto" w:sz="4" w:space="0"/>
              <w:right w:val="single" w:color="auto" w:sz="4" w:space="0"/>
            </w:tcBorders>
          </w:tcPr>
          <w:p w14:paraId="65AA2D39">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0834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96160D7">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17CCEA4E">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2B456FC7">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Goat</w:t>
            </w:r>
          </w:p>
        </w:tc>
        <w:tc>
          <w:tcPr>
            <w:tcW w:w="1710" w:type="dxa"/>
            <w:tcBorders>
              <w:top w:val="single" w:color="auto" w:sz="4" w:space="0"/>
              <w:left w:val="single" w:color="auto" w:sz="4" w:space="0"/>
              <w:bottom w:val="single" w:color="auto" w:sz="4" w:space="0"/>
              <w:right w:val="single" w:color="auto" w:sz="4" w:space="0"/>
            </w:tcBorders>
            <w:vAlign w:val="center"/>
          </w:tcPr>
          <w:p w14:paraId="21DDFD0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1,895</w:t>
            </w:r>
          </w:p>
        </w:tc>
        <w:tc>
          <w:tcPr>
            <w:tcW w:w="1620" w:type="dxa"/>
            <w:tcBorders>
              <w:top w:val="single" w:color="auto" w:sz="4" w:space="0"/>
              <w:left w:val="single" w:color="auto" w:sz="4" w:space="0"/>
              <w:bottom w:val="single" w:color="auto" w:sz="4" w:space="0"/>
              <w:right w:val="single" w:color="auto" w:sz="4" w:space="0"/>
            </w:tcBorders>
            <w:vAlign w:val="center"/>
          </w:tcPr>
          <w:p w14:paraId="5C4110A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2,567</w:t>
            </w:r>
          </w:p>
        </w:tc>
        <w:tc>
          <w:tcPr>
            <w:tcW w:w="1620" w:type="dxa"/>
            <w:tcBorders>
              <w:top w:val="single" w:color="auto" w:sz="4" w:space="0"/>
              <w:left w:val="single" w:color="auto" w:sz="4" w:space="0"/>
              <w:bottom w:val="single" w:color="auto" w:sz="4" w:space="0"/>
              <w:right w:val="single" w:color="auto" w:sz="4" w:space="0"/>
            </w:tcBorders>
            <w:vAlign w:val="center"/>
          </w:tcPr>
          <w:p w14:paraId="472863A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5,616</w:t>
            </w:r>
          </w:p>
        </w:tc>
        <w:tc>
          <w:tcPr>
            <w:tcW w:w="1440" w:type="dxa"/>
            <w:tcBorders>
              <w:top w:val="single" w:color="auto" w:sz="4" w:space="0"/>
              <w:left w:val="single" w:color="auto" w:sz="4" w:space="0"/>
              <w:bottom w:val="single" w:color="auto" w:sz="4" w:space="0"/>
              <w:right w:val="single" w:color="auto" w:sz="4" w:space="0"/>
            </w:tcBorders>
            <w:vAlign w:val="center"/>
          </w:tcPr>
          <w:p w14:paraId="7383019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5,616</w:t>
            </w:r>
          </w:p>
        </w:tc>
        <w:tc>
          <w:tcPr>
            <w:tcW w:w="1530" w:type="dxa"/>
            <w:tcBorders>
              <w:left w:val="single" w:color="auto" w:sz="4" w:space="0"/>
              <w:right w:val="single" w:color="auto" w:sz="4" w:space="0"/>
            </w:tcBorders>
            <w:vAlign w:val="center"/>
          </w:tcPr>
          <w:p w14:paraId="03E0B921">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3,000</w:t>
            </w:r>
          </w:p>
        </w:tc>
        <w:tc>
          <w:tcPr>
            <w:tcW w:w="1620" w:type="dxa"/>
            <w:tcBorders>
              <w:left w:val="single" w:color="auto" w:sz="4" w:space="0"/>
              <w:right w:val="single" w:color="auto" w:sz="4" w:space="0"/>
            </w:tcBorders>
          </w:tcPr>
          <w:p w14:paraId="5F2ACE2D">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1408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5E71193D">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33E216AC">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038C9257">
            <w:pPr>
              <w:numPr>
                <w:ilvl w:val="0"/>
                <w:numId w:val="10"/>
              </w:numPr>
              <w:spacing w:after="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Pig</w:t>
            </w:r>
          </w:p>
        </w:tc>
        <w:tc>
          <w:tcPr>
            <w:tcW w:w="1710" w:type="dxa"/>
            <w:tcBorders>
              <w:top w:val="single" w:color="auto" w:sz="4" w:space="0"/>
              <w:left w:val="single" w:color="auto" w:sz="4" w:space="0"/>
              <w:bottom w:val="single" w:color="auto" w:sz="4" w:space="0"/>
              <w:right w:val="single" w:color="auto" w:sz="4" w:space="0"/>
            </w:tcBorders>
            <w:vAlign w:val="center"/>
          </w:tcPr>
          <w:p w14:paraId="42D6BC8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4,348</w:t>
            </w:r>
          </w:p>
        </w:tc>
        <w:tc>
          <w:tcPr>
            <w:tcW w:w="1620" w:type="dxa"/>
            <w:tcBorders>
              <w:top w:val="single" w:color="auto" w:sz="4" w:space="0"/>
              <w:left w:val="single" w:color="auto" w:sz="4" w:space="0"/>
              <w:bottom w:val="single" w:color="auto" w:sz="4" w:space="0"/>
              <w:right w:val="single" w:color="auto" w:sz="4" w:space="0"/>
            </w:tcBorders>
            <w:vAlign w:val="center"/>
          </w:tcPr>
          <w:p w14:paraId="430AF48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8,243</w:t>
            </w:r>
          </w:p>
        </w:tc>
        <w:tc>
          <w:tcPr>
            <w:tcW w:w="1620" w:type="dxa"/>
            <w:tcBorders>
              <w:top w:val="single" w:color="auto" w:sz="4" w:space="0"/>
              <w:left w:val="single" w:color="auto" w:sz="4" w:space="0"/>
              <w:bottom w:val="single" w:color="auto" w:sz="4" w:space="0"/>
              <w:right w:val="single" w:color="auto" w:sz="4" w:space="0"/>
            </w:tcBorders>
            <w:vAlign w:val="center"/>
          </w:tcPr>
          <w:p w14:paraId="16540AC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79,419</w:t>
            </w:r>
          </w:p>
        </w:tc>
        <w:tc>
          <w:tcPr>
            <w:tcW w:w="1440" w:type="dxa"/>
            <w:tcBorders>
              <w:top w:val="single" w:color="auto" w:sz="4" w:space="0"/>
              <w:left w:val="single" w:color="auto" w:sz="4" w:space="0"/>
              <w:bottom w:val="single" w:color="auto" w:sz="4" w:space="0"/>
              <w:right w:val="single" w:color="auto" w:sz="4" w:space="0"/>
            </w:tcBorders>
            <w:vAlign w:val="center"/>
          </w:tcPr>
          <w:p w14:paraId="312E5A6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79,419</w:t>
            </w:r>
          </w:p>
        </w:tc>
        <w:tc>
          <w:tcPr>
            <w:tcW w:w="1530" w:type="dxa"/>
            <w:tcBorders>
              <w:left w:val="single" w:color="auto" w:sz="4" w:space="0"/>
              <w:right w:val="single" w:color="auto" w:sz="4" w:space="0"/>
            </w:tcBorders>
            <w:vAlign w:val="center"/>
          </w:tcPr>
          <w:p w14:paraId="5A4FAAD0">
            <w:pPr>
              <w:spacing w:after="0" w:line="36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10,000</w:t>
            </w:r>
          </w:p>
        </w:tc>
        <w:tc>
          <w:tcPr>
            <w:tcW w:w="1620" w:type="dxa"/>
            <w:tcBorders>
              <w:left w:val="single" w:color="auto" w:sz="4" w:space="0"/>
              <w:right w:val="single" w:color="auto" w:sz="4" w:space="0"/>
            </w:tcBorders>
          </w:tcPr>
          <w:p w14:paraId="3D58D5A3">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N/A</w:t>
            </w:r>
          </w:p>
        </w:tc>
      </w:tr>
      <w:tr w14:paraId="03B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2CDBBEF9">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D9D9D9"/>
            <w:vAlign w:val="center"/>
          </w:tcPr>
          <w:p w14:paraId="053A1F24">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sz w:val="20"/>
                <w:szCs w:val="20"/>
              </w:rPr>
              <w:t>Average productivity of selected crop (mt/ha):</w:t>
            </w: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21C962E6">
            <w:pPr>
              <w:spacing w:after="0" w:line="240" w:lineRule="auto"/>
              <w:jc w:val="center"/>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45E3DB9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16BCEA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2FE3A93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w:t>
            </w:r>
          </w:p>
        </w:tc>
        <w:tc>
          <w:tcPr>
            <w:tcW w:w="1440" w:type="dxa"/>
            <w:shd w:val="clear" w:color="auto" w:fill="D8D8D8" w:themeFill="background1" w:themeFillShade="D9"/>
            <w:vAlign w:val="center"/>
          </w:tcPr>
          <w:p w14:paraId="4BE0A1C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530" w:type="dxa"/>
            <w:shd w:val="clear" w:color="auto" w:fill="D9D9D9"/>
          </w:tcPr>
          <w:p w14:paraId="03AB9C4D">
            <w:pPr>
              <w:spacing w:after="0" w:line="240" w:lineRule="auto"/>
              <w:jc w:val="center"/>
              <w:rPr>
                <w:rFonts w:ascii="Times New Roman" w:hAnsi="Times New Roman" w:eastAsia="Times New Roman" w:cs="Times New Roman"/>
                <w:sz w:val="20"/>
                <w:szCs w:val="20"/>
                <w:lang w:val="en-GB"/>
              </w:rPr>
            </w:pPr>
          </w:p>
        </w:tc>
        <w:tc>
          <w:tcPr>
            <w:tcW w:w="1620" w:type="dxa"/>
            <w:shd w:val="clear" w:color="auto" w:fill="D9D9D9"/>
          </w:tcPr>
          <w:p w14:paraId="6997E83F">
            <w:pPr>
              <w:spacing w:after="0" w:line="240" w:lineRule="auto"/>
              <w:jc w:val="center"/>
              <w:rPr>
                <w:rFonts w:ascii="Times New Roman" w:hAnsi="Times New Roman" w:eastAsia="Times New Roman" w:cs="Times New Roman"/>
                <w:sz w:val="20"/>
                <w:szCs w:val="20"/>
                <w:lang w:val="en-GB"/>
              </w:rPr>
            </w:pPr>
          </w:p>
        </w:tc>
      </w:tr>
      <w:tr w14:paraId="6048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6CDB20EA">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D9D9D9"/>
            <w:vAlign w:val="center"/>
          </w:tcPr>
          <w:p w14:paraId="2D8A9F9A">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Percentage of arable land under cultivation</w:t>
            </w: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3A19B4AE">
            <w:pPr>
              <w:spacing w:after="0" w:line="240" w:lineRule="auto"/>
              <w:jc w:val="center"/>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073559F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75%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24C9420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7F6021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68%</w:t>
            </w:r>
          </w:p>
        </w:tc>
        <w:tc>
          <w:tcPr>
            <w:tcW w:w="1440" w:type="dxa"/>
            <w:shd w:val="clear" w:color="auto" w:fill="D8D8D8" w:themeFill="background1" w:themeFillShade="D9"/>
            <w:vAlign w:val="center"/>
          </w:tcPr>
          <w:p w14:paraId="13BA40F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68%</w:t>
            </w:r>
          </w:p>
        </w:tc>
        <w:tc>
          <w:tcPr>
            <w:tcW w:w="1530" w:type="dxa"/>
            <w:shd w:val="clear" w:color="auto" w:fill="D9D9D9"/>
          </w:tcPr>
          <w:p w14:paraId="6B5BD23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shd w:val="clear" w:color="auto" w:fill="D9D9D9"/>
          </w:tcPr>
          <w:p w14:paraId="3C9CA3E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N/A</w:t>
            </w:r>
          </w:p>
        </w:tc>
      </w:tr>
      <w:tr w14:paraId="2A73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25" w:type="dxa"/>
            <w:vMerge w:val="restart"/>
            <w:tcBorders>
              <w:top w:val="single" w:color="auto" w:sz="4" w:space="0"/>
              <w:left w:val="single" w:color="auto" w:sz="4" w:space="0"/>
              <w:right w:val="single" w:color="auto" w:sz="4" w:space="0"/>
            </w:tcBorders>
            <w:vAlign w:val="center"/>
          </w:tcPr>
          <w:p w14:paraId="651F1831">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vAlign w:val="center"/>
          </w:tcPr>
          <w:p w14:paraId="74EFF16E">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Number of new industries established </w:t>
            </w:r>
          </w:p>
          <w:p w14:paraId="340DFCCD">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right w:val="single" w:color="auto" w:sz="4" w:space="0"/>
            </w:tcBorders>
          </w:tcPr>
          <w:p w14:paraId="17A8176C">
            <w:pPr>
              <w:numPr>
                <w:ilvl w:val="0"/>
                <w:numId w:val="11"/>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Agriculture,</w:t>
            </w:r>
          </w:p>
        </w:tc>
        <w:tc>
          <w:tcPr>
            <w:tcW w:w="1710" w:type="dxa"/>
            <w:tcBorders>
              <w:top w:val="single" w:color="auto" w:sz="4" w:space="0"/>
              <w:left w:val="single" w:color="auto" w:sz="4" w:space="0"/>
              <w:bottom w:val="single" w:color="auto" w:sz="4" w:space="0"/>
              <w:right w:val="single" w:color="auto" w:sz="4" w:space="0"/>
            </w:tcBorders>
            <w:vAlign w:val="center"/>
          </w:tcPr>
          <w:p w14:paraId="269740A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tcBorders>
              <w:top w:val="single" w:color="auto" w:sz="4" w:space="0"/>
              <w:left w:val="single" w:color="auto" w:sz="4" w:space="0"/>
              <w:bottom w:val="single" w:color="auto" w:sz="4" w:space="0"/>
              <w:right w:val="single" w:color="auto" w:sz="4" w:space="0"/>
            </w:tcBorders>
            <w:vAlign w:val="center"/>
          </w:tcPr>
          <w:p w14:paraId="13975BC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w:t>
            </w:r>
          </w:p>
        </w:tc>
        <w:tc>
          <w:tcPr>
            <w:tcW w:w="1620" w:type="dxa"/>
            <w:tcBorders>
              <w:top w:val="single" w:color="auto" w:sz="4" w:space="0"/>
              <w:left w:val="single" w:color="auto" w:sz="4" w:space="0"/>
              <w:bottom w:val="single" w:color="auto" w:sz="4" w:space="0"/>
              <w:right w:val="single" w:color="auto" w:sz="4" w:space="0"/>
            </w:tcBorders>
            <w:vAlign w:val="center"/>
          </w:tcPr>
          <w:p w14:paraId="30A7808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1440" w:type="dxa"/>
            <w:vAlign w:val="center"/>
          </w:tcPr>
          <w:p w14:paraId="24F9D81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0" w:type="dxa"/>
          </w:tcPr>
          <w:p w14:paraId="1FE2B9AD">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20" w:type="dxa"/>
          </w:tcPr>
          <w:p w14:paraId="57F9EFD9">
            <w:pPr>
              <w:jc w:val="center"/>
              <w:rPr>
                <w:rFonts w:ascii="Times New Roman" w:hAnsi="Times New Roman" w:cs="Times New Roman"/>
                <w:sz w:val="20"/>
                <w:szCs w:val="20"/>
              </w:rPr>
            </w:pPr>
            <w:r>
              <w:rPr>
                <w:rFonts w:ascii="Times New Roman" w:hAnsi="Times New Roman" w:eastAsia="Times New Roman" w:cs="Times New Roman"/>
                <w:bCs/>
                <w:sz w:val="20"/>
                <w:szCs w:val="20"/>
              </w:rPr>
              <w:t>N/A</w:t>
            </w:r>
          </w:p>
        </w:tc>
      </w:tr>
      <w:tr w14:paraId="7E22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25" w:type="dxa"/>
            <w:vMerge w:val="continue"/>
            <w:tcBorders>
              <w:left w:val="single" w:color="auto" w:sz="4" w:space="0"/>
              <w:right w:val="single" w:color="auto" w:sz="4" w:space="0"/>
            </w:tcBorders>
            <w:vAlign w:val="center"/>
          </w:tcPr>
          <w:p w14:paraId="20C6BF57">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03A72601">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3E69AD16">
            <w:pPr>
              <w:numPr>
                <w:ilvl w:val="0"/>
                <w:numId w:val="11"/>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Industry,</w:t>
            </w:r>
          </w:p>
        </w:tc>
        <w:tc>
          <w:tcPr>
            <w:tcW w:w="1710" w:type="dxa"/>
            <w:tcBorders>
              <w:top w:val="single" w:color="auto" w:sz="4" w:space="0"/>
              <w:left w:val="single" w:color="auto" w:sz="4" w:space="0"/>
              <w:bottom w:val="single" w:color="auto" w:sz="4" w:space="0"/>
              <w:right w:val="single" w:color="auto" w:sz="4" w:space="0"/>
            </w:tcBorders>
            <w:vAlign w:val="center"/>
          </w:tcPr>
          <w:p w14:paraId="7721EBB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tcBorders>
              <w:top w:val="single" w:color="auto" w:sz="4" w:space="0"/>
              <w:left w:val="single" w:color="auto" w:sz="4" w:space="0"/>
              <w:bottom w:val="single" w:color="auto" w:sz="4" w:space="0"/>
              <w:right w:val="single" w:color="auto" w:sz="4" w:space="0"/>
            </w:tcBorders>
            <w:vAlign w:val="center"/>
          </w:tcPr>
          <w:p w14:paraId="6B5D040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32</w:t>
            </w:r>
          </w:p>
        </w:tc>
        <w:tc>
          <w:tcPr>
            <w:tcW w:w="1620" w:type="dxa"/>
            <w:tcBorders>
              <w:top w:val="single" w:color="auto" w:sz="4" w:space="0"/>
              <w:left w:val="single" w:color="auto" w:sz="4" w:space="0"/>
              <w:bottom w:val="single" w:color="auto" w:sz="4" w:space="0"/>
              <w:right w:val="single" w:color="auto" w:sz="4" w:space="0"/>
            </w:tcBorders>
            <w:vAlign w:val="center"/>
          </w:tcPr>
          <w:p w14:paraId="6A70691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757B99F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30" w:type="dxa"/>
          </w:tcPr>
          <w:p w14:paraId="21CFD04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w:t>
            </w:r>
          </w:p>
        </w:tc>
        <w:tc>
          <w:tcPr>
            <w:tcW w:w="1620" w:type="dxa"/>
          </w:tcPr>
          <w:p w14:paraId="3C75614C">
            <w:pPr>
              <w:jc w:val="center"/>
              <w:rPr>
                <w:rFonts w:ascii="Times New Roman" w:hAnsi="Times New Roman" w:cs="Times New Roman"/>
                <w:sz w:val="20"/>
                <w:szCs w:val="20"/>
              </w:rPr>
            </w:pPr>
            <w:r>
              <w:rPr>
                <w:rFonts w:ascii="Times New Roman" w:hAnsi="Times New Roman" w:eastAsia="Times New Roman" w:cs="Times New Roman"/>
                <w:bCs/>
                <w:sz w:val="20"/>
                <w:szCs w:val="20"/>
              </w:rPr>
              <w:t>N/A</w:t>
            </w:r>
          </w:p>
        </w:tc>
      </w:tr>
      <w:tr w14:paraId="670F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25" w:type="dxa"/>
            <w:vMerge w:val="continue"/>
            <w:tcBorders>
              <w:left w:val="single" w:color="auto" w:sz="4" w:space="0"/>
              <w:right w:val="single" w:color="auto" w:sz="4" w:space="0"/>
            </w:tcBorders>
            <w:vAlign w:val="center"/>
          </w:tcPr>
          <w:p w14:paraId="0BD47E8C">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72077D79">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24658923">
            <w:pPr>
              <w:rPr>
                <w:rFonts w:ascii="Times New Roman" w:hAnsi="Times New Roman" w:cs="Times New Roman"/>
                <w:sz w:val="20"/>
                <w:szCs w:val="20"/>
              </w:rPr>
            </w:pPr>
            <w:r>
              <w:rPr>
                <w:rFonts w:ascii="Times New Roman" w:hAnsi="Times New Roman" w:eastAsia="Times New Roman" w:cs="Times New Roman"/>
                <w:sz w:val="20"/>
                <w:szCs w:val="20"/>
              </w:rPr>
              <w:t xml:space="preserve">    iii. Service</w:t>
            </w:r>
          </w:p>
        </w:tc>
        <w:tc>
          <w:tcPr>
            <w:tcW w:w="1710" w:type="dxa"/>
            <w:tcBorders>
              <w:top w:val="single" w:color="auto" w:sz="4" w:space="0"/>
              <w:left w:val="single" w:color="auto" w:sz="4" w:space="0"/>
              <w:bottom w:val="single" w:color="auto" w:sz="4" w:space="0"/>
              <w:right w:val="single" w:color="auto" w:sz="4" w:space="0"/>
            </w:tcBorders>
            <w:vAlign w:val="center"/>
          </w:tcPr>
          <w:p w14:paraId="664AD90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50</w:t>
            </w:r>
          </w:p>
        </w:tc>
        <w:tc>
          <w:tcPr>
            <w:tcW w:w="1620" w:type="dxa"/>
            <w:tcBorders>
              <w:top w:val="single" w:color="auto" w:sz="4" w:space="0"/>
              <w:left w:val="single" w:color="auto" w:sz="4" w:space="0"/>
              <w:bottom w:val="single" w:color="auto" w:sz="4" w:space="0"/>
              <w:right w:val="single" w:color="auto" w:sz="4" w:space="0"/>
            </w:tcBorders>
            <w:vAlign w:val="center"/>
          </w:tcPr>
          <w:p w14:paraId="6075EA0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166</w:t>
            </w:r>
          </w:p>
        </w:tc>
        <w:tc>
          <w:tcPr>
            <w:tcW w:w="1620" w:type="dxa"/>
            <w:tcBorders>
              <w:top w:val="single" w:color="auto" w:sz="4" w:space="0"/>
              <w:left w:val="single" w:color="auto" w:sz="4" w:space="0"/>
              <w:bottom w:val="single" w:color="auto" w:sz="4" w:space="0"/>
              <w:right w:val="single" w:color="auto" w:sz="4" w:space="0"/>
            </w:tcBorders>
            <w:vAlign w:val="center"/>
          </w:tcPr>
          <w:p w14:paraId="269F85E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50E1B33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30" w:type="dxa"/>
          </w:tcPr>
          <w:p w14:paraId="7DA4D77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w:t>
            </w:r>
          </w:p>
        </w:tc>
        <w:tc>
          <w:tcPr>
            <w:tcW w:w="1620" w:type="dxa"/>
          </w:tcPr>
          <w:p w14:paraId="37EBAB14">
            <w:pPr>
              <w:jc w:val="center"/>
              <w:rPr>
                <w:rFonts w:ascii="Times New Roman" w:hAnsi="Times New Roman" w:cs="Times New Roman"/>
                <w:sz w:val="20"/>
                <w:szCs w:val="20"/>
              </w:rPr>
            </w:pPr>
            <w:r>
              <w:rPr>
                <w:rFonts w:ascii="Times New Roman" w:hAnsi="Times New Roman" w:eastAsia="Times New Roman" w:cs="Times New Roman"/>
                <w:bCs/>
                <w:sz w:val="20"/>
                <w:szCs w:val="20"/>
              </w:rPr>
              <w:t>N/A</w:t>
            </w:r>
          </w:p>
        </w:tc>
      </w:tr>
      <w:tr w14:paraId="20EB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25"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45CC6469">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4D34E2A4">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Number of new jobs created</w:t>
            </w: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00E786E6">
            <w:pPr>
              <w:numPr>
                <w:ilvl w:val="0"/>
                <w:numId w:val="12"/>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Agriculture</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4D2EC67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67FF9A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69952B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0307D2B0">
            <w:pPr>
              <w:spacing w:after="0" w:line="240" w:lineRule="auto"/>
              <w:jc w:val="center"/>
              <w:rPr>
                <w:rFonts w:ascii="Times New Roman" w:hAnsi="Times New Roman" w:eastAsia="Times New Roman" w:cs="Times New Roman"/>
                <w:bCs/>
                <w:sz w:val="20"/>
                <w:szCs w:val="20"/>
              </w:rPr>
            </w:pPr>
            <w:r>
              <w:rPr>
                <w:rFonts w:ascii="Times New Roman" w:hAnsi="Times New Roman" w:eastAsia="Calibri" w:cs="Times New Roman"/>
                <w:sz w:val="20"/>
                <w:szCs w:val="20"/>
              </w:rPr>
              <w:t>8</w:t>
            </w:r>
          </w:p>
        </w:tc>
        <w:tc>
          <w:tcPr>
            <w:tcW w:w="1530" w:type="dxa"/>
            <w:shd w:val="clear" w:color="auto" w:fill="D9D9D9"/>
          </w:tcPr>
          <w:p w14:paraId="5E2A5BFD">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5</w:t>
            </w:r>
          </w:p>
        </w:tc>
        <w:tc>
          <w:tcPr>
            <w:tcW w:w="1620" w:type="dxa"/>
            <w:shd w:val="clear" w:color="auto" w:fill="D9D9D9"/>
          </w:tcPr>
          <w:p w14:paraId="1A17DFA4">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N/A</w:t>
            </w:r>
          </w:p>
        </w:tc>
      </w:tr>
      <w:tr w14:paraId="4A47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0122631E">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1F4138A9">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24277F2B">
            <w:pPr>
              <w:numPr>
                <w:ilvl w:val="0"/>
                <w:numId w:val="12"/>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Industry</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1A46567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76F2FF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32</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F90D39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12112AEC">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1</w:t>
            </w:r>
          </w:p>
        </w:tc>
        <w:tc>
          <w:tcPr>
            <w:tcW w:w="1530" w:type="dxa"/>
            <w:shd w:val="clear" w:color="auto" w:fill="D9D9D9"/>
          </w:tcPr>
          <w:p w14:paraId="37A8554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shd w:val="clear" w:color="auto" w:fill="D9D9D9"/>
          </w:tcPr>
          <w:p w14:paraId="4FDC1CB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r>
      <w:tr w14:paraId="1946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5AC394C">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5B1EE57C">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4B56ADD2">
            <w:pPr>
              <w:pStyle w:val="24"/>
              <w:numPr>
                <w:ilvl w:val="0"/>
                <w:numId w:val="12"/>
              </w:numPr>
              <w:rPr>
                <w:rFonts w:ascii="Times New Roman" w:hAnsi="Times New Roman" w:cs="Times New Roman"/>
                <w:sz w:val="20"/>
                <w:szCs w:val="20"/>
              </w:rPr>
            </w:pPr>
            <w:r>
              <w:rPr>
                <w:rFonts w:ascii="Times New Roman" w:hAnsi="Times New Roman" w:eastAsia="Times New Roman" w:cs="Times New Roman"/>
                <w:sz w:val="20"/>
                <w:szCs w:val="20"/>
              </w:rPr>
              <w:t>Service</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5757411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9689CC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166</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D52F8B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93</w:t>
            </w:r>
          </w:p>
        </w:tc>
        <w:tc>
          <w:tcPr>
            <w:tcW w:w="1440" w:type="dxa"/>
            <w:shd w:val="clear" w:color="auto" w:fill="D8D8D8" w:themeFill="background1" w:themeFillShade="D9"/>
          </w:tcPr>
          <w:p w14:paraId="031DA6A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103</w:t>
            </w:r>
          </w:p>
        </w:tc>
        <w:tc>
          <w:tcPr>
            <w:tcW w:w="1530" w:type="dxa"/>
            <w:shd w:val="clear" w:color="auto" w:fill="D9D9D9"/>
          </w:tcPr>
          <w:p w14:paraId="238F4AC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20</w:t>
            </w:r>
          </w:p>
        </w:tc>
        <w:tc>
          <w:tcPr>
            <w:tcW w:w="1620" w:type="dxa"/>
            <w:shd w:val="clear" w:color="auto" w:fill="D9D9D9"/>
          </w:tcPr>
          <w:p w14:paraId="4B33B22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r>
      <w:tr w14:paraId="2D67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14:paraId="304948E1">
            <w:pPr>
              <w:pStyle w:val="24"/>
              <w:numPr>
                <w:ilvl w:val="0"/>
                <w:numId w:val="9"/>
              </w:numPr>
              <w:spacing w:after="0" w:line="240" w:lineRule="auto"/>
              <w:rPr>
                <w:rFonts w:ascii="Times New Roman" w:hAnsi="Times New Roman" w:eastAsia="Times New Roman" w:cs="Times New Roman"/>
                <w:b/>
                <w:sz w:val="20"/>
                <w:szCs w:val="20"/>
                <w:lang w:val="en-GB"/>
              </w:rPr>
            </w:pPr>
          </w:p>
        </w:tc>
        <w:tc>
          <w:tcPr>
            <w:tcW w:w="2430" w:type="dxa"/>
            <w:tcBorders>
              <w:top w:val="single" w:color="auto" w:sz="4" w:space="0"/>
              <w:left w:val="single" w:color="auto" w:sz="4" w:space="0"/>
              <w:bottom w:val="single" w:color="auto" w:sz="4" w:space="0"/>
              <w:right w:val="single" w:color="auto" w:sz="4" w:space="0"/>
            </w:tcBorders>
            <w:vAlign w:val="center"/>
          </w:tcPr>
          <w:p w14:paraId="067DBB61">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sz w:val="20"/>
                <w:szCs w:val="20"/>
              </w:rPr>
              <w:t>Percentage change in IGF</w:t>
            </w:r>
          </w:p>
        </w:tc>
        <w:tc>
          <w:tcPr>
            <w:tcW w:w="2430" w:type="dxa"/>
            <w:tcBorders>
              <w:top w:val="single" w:color="auto" w:sz="4" w:space="0"/>
              <w:left w:val="single" w:color="auto" w:sz="4" w:space="0"/>
              <w:bottom w:val="single" w:color="auto" w:sz="4" w:space="0"/>
              <w:right w:val="single" w:color="auto" w:sz="4" w:space="0"/>
            </w:tcBorders>
          </w:tcPr>
          <w:p w14:paraId="208A3156">
            <w:pPr>
              <w:spacing w:after="0" w:line="240" w:lineRule="auto"/>
              <w:jc w:val="center"/>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vAlign w:val="center"/>
          </w:tcPr>
          <w:p w14:paraId="7093737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25.68%</w:t>
            </w:r>
          </w:p>
        </w:tc>
        <w:tc>
          <w:tcPr>
            <w:tcW w:w="1620" w:type="dxa"/>
            <w:tcBorders>
              <w:top w:val="single" w:color="auto" w:sz="4" w:space="0"/>
              <w:left w:val="single" w:color="auto" w:sz="4" w:space="0"/>
              <w:bottom w:val="single" w:color="auto" w:sz="4" w:space="0"/>
              <w:right w:val="single" w:color="auto" w:sz="4" w:space="0"/>
            </w:tcBorders>
            <w:vAlign w:val="center"/>
          </w:tcPr>
          <w:p w14:paraId="63C1005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24.%</w:t>
            </w:r>
          </w:p>
        </w:tc>
        <w:tc>
          <w:tcPr>
            <w:tcW w:w="1620" w:type="dxa"/>
            <w:tcBorders>
              <w:top w:val="single" w:color="auto" w:sz="4" w:space="0"/>
              <w:left w:val="single" w:color="auto" w:sz="4" w:space="0"/>
              <w:bottom w:val="single" w:color="auto" w:sz="4" w:space="0"/>
              <w:right w:val="single" w:color="auto" w:sz="4" w:space="0"/>
            </w:tcBorders>
            <w:vAlign w:val="center"/>
          </w:tcPr>
          <w:p w14:paraId="7E378D6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rPr>
              <w:t>24.02%</w:t>
            </w:r>
          </w:p>
        </w:tc>
        <w:tc>
          <w:tcPr>
            <w:tcW w:w="1440" w:type="dxa"/>
            <w:vAlign w:val="center"/>
          </w:tcPr>
          <w:p w14:paraId="3437B8C7">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(47%)</w:t>
            </w:r>
          </w:p>
        </w:tc>
        <w:tc>
          <w:tcPr>
            <w:tcW w:w="1530" w:type="dxa"/>
          </w:tcPr>
          <w:p w14:paraId="58B86B8E">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bCs/>
                <w:sz w:val="20"/>
                <w:szCs w:val="20"/>
              </w:rPr>
              <w:t>100%</w:t>
            </w:r>
          </w:p>
        </w:tc>
        <w:tc>
          <w:tcPr>
            <w:tcW w:w="1620" w:type="dxa"/>
          </w:tcPr>
          <w:p w14:paraId="36030871">
            <w:pPr>
              <w:spacing w:after="0" w:line="240" w:lineRule="auto"/>
              <w:jc w:val="center"/>
              <w:rPr>
                <w:rFonts w:ascii="Times New Roman" w:hAnsi="Times New Roman" w:cs="Times New Roman"/>
                <w:sz w:val="20"/>
                <w:szCs w:val="20"/>
                <w:lang w:eastAsia="zh-CN" w:bidi="ar"/>
              </w:rPr>
            </w:pPr>
            <w:r>
              <w:rPr>
                <w:rStyle w:val="35"/>
                <w:rFonts w:ascii="Times New Roman" w:hAnsi="Times New Roman" w:cs="Times New Roman"/>
                <w:sz w:val="20"/>
                <w:szCs w:val="20"/>
              </w:rPr>
              <w:t>(26.88%)</w:t>
            </w:r>
          </w:p>
        </w:tc>
      </w:tr>
      <w:tr w14:paraId="2C66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7F419DC1">
            <w:pPr>
              <w:spacing w:after="0" w:line="240" w:lineRule="auto"/>
              <w:rPr>
                <w:rFonts w:ascii="Times New Roman" w:hAnsi="Times New Roman" w:eastAsia="Times New Roman" w:cs="Times New Roman"/>
                <w:b/>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134DEB6E">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Social Development</w:t>
            </w:r>
          </w:p>
        </w:tc>
        <w:tc>
          <w:tcPr>
            <w:tcW w:w="2430" w:type="dxa"/>
            <w:tcBorders>
              <w:top w:val="single" w:color="auto" w:sz="4" w:space="0"/>
              <w:left w:val="single" w:color="auto" w:sz="4" w:space="0"/>
              <w:bottom w:val="single" w:color="auto" w:sz="4" w:space="0"/>
              <w:right w:val="single" w:color="auto" w:sz="4" w:space="0"/>
            </w:tcBorders>
            <w:shd w:val="clear" w:color="auto" w:fill="FBE4D5" w:themeFill="accent2" w:themeFillTint="33"/>
          </w:tcPr>
          <w:p w14:paraId="2F4D873F">
            <w:pPr>
              <w:spacing w:after="0" w:line="240" w:lineRule="auto"/>
              <w:jc w:val="center"/>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4C4A3CC6">
            <w:pPr>
              <w:spacing w:after="0" w:line="240" w:lineRule="auto"/>
              <w:jc w:val="center"/>
              <w:rPr>
                <w:rFonts w:ascii="Times New Roman" w:hAnsi="Times New Roman" w:eastAsia="Times New Roman" w:cs="Times New Roman"/>
                <w:sz w:val="20"/>
                <w:szCs w:val="20"/>
                <w:lang w:val="en-GB"/>
              </w:rPr>
            </w:pPr>
          </w:p>
        </w:tc>
        <w:tc>
          <w:tcPr>
            <w:tcW w:w="162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570A5D4E">
            <w:pPr>
              <w:spacing w:after="0" w:line="240" w:lineRule="auto"/>
              <w:jc w:val="center"/>
              <w:rPr>
                <w:rFonts w:ascii="Times New Roman" w:hAnsi="Times New Roman" w:eastAsia="Times New Roman" w:cs="Times New Roman"/>
                <w:sz w:val="20"/>
                <w:szCs w:val="20"/>
                <w:lang w:val="en-GB"/>
              </w:rPr>
            </w:pPr>
          </w:p>
        </w:tc>
        <w:tc>
          <w:tcPr>
            <w:tcW w:w="1620" w:type="dxa"/>
            <w:tcBorders>
              <w:top w:val="single" w:color="auto" w:sz="4" w:space="0"/>
              <w:left w:val="single" w:color="auto" w:sz="4" w:space="0"/>
              <w:bottom w:val="single" w:color="auto" w:sz="4" w:space="0"/>
              <w:right w:val="single" w:color="auto" w:sz="4" w:space="0"/>
            </w:tcBorders>
            <w:shd w:val="clear" w:color="auto" w:fill="FBE4D5" w:themeFill="accent2" w:themeFillTint="33"/>
            <w:vAlign w:val="center"/>
          </w:tcPr>
          <w:p w14:paraId="43AA7052">
            <w:pPr>
              <w:spacing w:after="0" w:line="240" w:lineRule="auto"/>
              <w:jc w:val="center"/>
              <w:rPr>
                <w:rFonts w:ascii="Times New Roman" w:hAnsi="Times New Roman" w:eastAsia="Times New Roman" w:cs="Times New Roman"/>
                <w:sz w:val="20"/>
                <w:szCs w:val="20"/>
                <w:lang w:val="en-GB"/>
              </w:rPr>
            </w:pPr>
          </w:p>
        </w:tc>
        <w:tc>
          <w:tcPr>
            <w:tcW w:w="1440" w:type="dxa"/>
            <w:shd w:val="clear" w:color="auto" w:fill="FBE4D5" w:themeFill="accent2" w:themeFillTint="33"/>
            <w:vAlign w:val="center"/>
          </w:tcPr>
          <w:p w14:paraId="7CA3E4B5">
            <w:pPr>
              <w:spacing w:after="0" w:line="240" w:lineRule="auto"/>
              <w:jc w:val="center"/>
              <w:rPr>
                <w:rFonts w:ascii="Times New Roman" w:hAnsi="Times New Roman" w:eastAsia="Times New Roman" w:cs="Times New Roman"/>
                <w:sz w:val="20"/>
                <w:szCs w:val="20"/>
                <w:lang w:val="en-GB"/>
              </w:rPr>
            </w:pPr>
          </w:p>
        </w:tc>
        <w:tc>
          <w:tcPr>
            <w:tcW w:w="1530" w:type="dxa"/>
            <w:shd w:val="clear" w:color="auto" w:fill="FBE4D5" w:themeFill="accent2" w:themeFillTint="33"/>
          </w:tcPr>
          <w:p w14:paraId="3689FBAD">
            <w:pPr>
              <w:spacing w:after="0" w:line="240" w:lineRule="auto"/>
              <w:jc w:val="center"/>
              <w:rPr>
                <w:rFonts w:ascii="Times New Roman" w:hAnsi="Times New Roman" w:eastAsia="Times New Roman" w:cs="Times New Roman"/>
                <w:sz w:val="20"/>
                <w:szCs w:val="20"/>
                <w:lang w:val="en-GB"/>
              </w:rPr>
            </w:pPr>
          </w:p>
        </w:tc>
        <w:tc>
          <w:tcPr>
            <w:tcW w:w="1620" w:type="dxa"/>
            <w:shd w:val="clear" w:color="auto" w:fill="FBE4D5" w:themeFill="accent2" w:themeFillTint="33"/>
          </w:tcPr>
          <w:p w14:paraId="6688E281">
            <w:pPr>
              <w:spacing w:after="0" w:line="240" w:lineRule="auto"/>
              <w:jc w:val="center"/>
              <w:rPr>
                <w:rFonts w:ascii="Times New Roman" w:hAnsi="Times New Roman" w:eastAsia="Times New Roman" w:cs="Times New Roman"/>
                <w:sz w:val="20"/>
                <w:szCs w:val="20"/>
                <w:lang w:val="en-GB"/>
              </w:rPr>
            </w:pPr>
          </w:p>
        </w:tc>
      </w:tr>
      <w:tr w14:paraId="713C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6CA6800D">
            <w:pPr>
              <w:pStyle w:val="24"/>
              <w:numPr>
                <w:ilvl w:val="0"/>
                <w:numId w:val="9"/>
              </w:numPr>
              <w:spacing w:after="0" w:line="240" w:lineRule="auto"/>
              <w:rPr>
                <w:rFonts w:ascii="Times New Roman" w:hAnsi="Times New Roman" w:eastAsia="Times New Roman" w:cs="Times New Roman"/>
                <w:bCs/>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4A8B5421">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Net enrolment ratio</w:t>
            </w: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5E2754EC">
            <w:pPr>
              <w:pStyle w:val="24"/>
              <w:numPr>
                <w:ilvl w:val="0"/>
                <w:numId w:val="13"/>
              </w:numPr>
              <w:spacing w:after="20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Kindergarten</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25F1C0E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59.7%</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681DEE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34.1%</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7F50B88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46.79%</w:t>
            </w:r>
          </w:p>
        </w:tc>
        <w:tc>
          <w:tcPr>
            <w:tcW w:w="1440" w:type="dxa"/>
            <w:shd w:val="clear" w:color="auto" w:fill="D8D8D8" w:themeFill="background1" w:themeFillShade="D9"/>
          </w:tcPr>
          <w:p w14:paraId="56C3FBDE">
            <w:pPr>
              <w:spacing w:after="0" w:line="240" w:lineRule="auto"/>
              <w:jc w:val="center"/>
              <w:rPr>
                <w:rFonts w:ascii="Times New Roman" w:hAnsi="Times New Roman" w:eastAsia="Times New Roman" w:cs="Times New Roman"/>
                <w:sz w:val="20"/>
                <w:szCs w:val="20"/>
              </w:rPr>
            </w:pPr>
            <w:r>
              <w:rPr>
                <w:rFonts w:ascii="Times New Roman" w:hAnsi="Times New Roman" w:cs="Times New Roman"/>
                <w:sz w:val="20"/>
                <w:szCs w:val="20"/>
              </w:rPr>
              <w:t>60.21%</w:t>
            </w:r>
          </w:p>
        </w:tc>
        <w:tc>
          <w:tcPr>
            <w:tcW w:w="1530" w:type="dxa"/>
            <w:shd w:val="clear" w:color="auto" w:fill="D9D9D9"/>
          </w:tcPr>
          <w:p w14:paraId="37A251FC">
            <w:pPr>
              <w:spacing w:after="0" w:line="240" w:lineRule="auto"/>
              <w:jc w:val="center"/>
              <w:rPr>
                <w:rFonts w:ascii="Times New Roman" w:hAnsi="Times New Roman" w:eastAsia="Times New Roman" w:cs="Times New Roman"/>
                <w:sz w:val="20"/>
                <w:szCs w:val="20"/>
              </w:rPr>
            </w:pPr>
            <w:r>
              <w:rPr>
                <w:rFonts w:ascii="Times New Roman" w:hAnsi="Times New Roman" w:cs="Times New Roman"/>
                <w:sz w:val="20"/>
                <w:szCs w:val="20"/>
              </w:rPr>
              <w:t>60.21%</w:t>
            </w:r>
          </w:p>
        </w:tc>
        <w:tc>
          <w:tcPr>
            <w:tcW w:w="1620" w:type="dxa"/>
            <w:shd w:val="clear" w:color="auto" w:fill="D9D9D9"/>
          </w:tcPr>
          <w:p w14:paraId="692FFE52">
            <w:pPr>
              <w:spacing w:line="360" w:lineRule="auto"/>
              <w:jc w:val="center"/>
              <w:rPr>
                <w:rFonts w:ascii="Times New Roman" w:hAnsi="Times New Roman" w:cs="Times New Roman"/>
                <w:sz w:val="20"/>
                <w:szCs w:val="20"/>
              </w:rPr>
            </w:pPr>
            <w:r>
              <w:rPr>
                <w:rFonts w:ascii="Times New Roman" w:hAnsi="Times New Roman" w:cs="Times New Roman"/>
                <w:sz w:val="20"/>
                <w:szCs w:val="20"/>
              </w:rPr>
              <w:t>49.86%</w:t>
            </w:r>
          </w:p>
        </w:tc>
      </w:tr>
      <w:tr w14:paraId="4F6F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8CC3335">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0CD556E4">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6F732C1C">
            <w:pPr>
              <w:pStyle w:val="24"/>
              <w:numPr>
                <w:ilvl w:val="0"/>
                <w:numId w:val="13"/>
              </w:numPr>
              <w:spacing w:after="200" w:line="276"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Primary</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307032B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71.5%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B56A31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15.5%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25BCB3C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39.99%</w:t>
            </w:r>
          </w:p>
        </w:tc>
        <w:tc>
          <w:tcPr>
            <w:tcW w:w="1440" w:type="dxa"/>
            <w:shd w:val="clear" w:color="auto" w:fill="D8D8D8" w:themeFill="background1" w:themeFillShade="D9"/>
          </w:tcPr>
          <w:p w14:paraId="5349B920">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46.53%</w:t>
            </w:r>
          </w:p>
        </w:tc>
        <w:tc>
          <w:tcPr>
            <w:tcW w:w="1530" w:type="dxa"/>
            <w:shd w:val="clear" w:color="auto" w:fill="D9D9D9"/>
          </w:tcPr>
          <w:p w14:paraId="4E4FE6AD">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46.53%</w:t>
            </w:r>
          </w:p>
        </w:tc>
        <w:tc>
          <w:tcPr>
            <w:tcW w:w="1620" w:type="dxa"/>
            <w:shd w:val="clear" w:color="auto" w:fill="D9D9D9"/>
          </w:tcPr>
          <w:p w14:paraId="6A5163D2">
            <w:pPr>
              <w:spacing w:line="360" w:lineRule="auto"/>
              <w:jc w:val="center"/>
              <w:rPr>
                <w:rFonts w:ascii="Times New Roman" w:hAnsi="Times New Roman" w:cs="Times New Roman"/>
                <w:sz w:val="20"/>
                <w:szCs w:val="20"/>
              </w:rPr>
            </w:pPr>
            <w:r>
              <w:rPr>
                <w:rFonts w:ascii="Times New Roman" w:hAnsi="Times New Roman" w:cs="Times New Roman"/>
                <w:sz w:val="20"/>
                <w:szCs w:val="20"/>
              </w:rPr>
              <w:t>39.74%</w:t>
            </w:r>
          </w:p>
        </w:tc>
      </w:tr>
      <w:tr w14:paraId="1ED7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7E1588F9">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1B34AC00">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4EB73312">
            <w:pPr>
              <w:pStyle w:val="24"/>
              <w:numPr>
                <w:ilvl w:val="0"/>
                <w:numId w:val="13"/>
              </w:numPr>
              <w:rPr>
                <w:rFonts w:ascii="Times New Roman" w:hAnsi="Times New Roman" w:cs="Times New Roman"/>
                <w:sz w:val="20"/>
                <w:szCs w:val="20"/>
              </w:rPr>
            </w:pPr>
            <w:r>
              <w:rPr>
                <w:rFonts w:ascii="Times New Roman" w:hAnsi="Times New Roman" w:eastAsia="Times New Roman" w:cs="Times New Roman"/>
                <w:sz w:val="20"/>
                <w:szCs w:val="20"/>
                <w:lang w:val="en-GB"/>
              </w:rPr>
              <w:t>JHS</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652F26C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29.7%</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CEFC06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23.3%</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74B582B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23.40%</w:t>
            </w:r>
          </w:p>
        </w:tc>
        <w:tc>
          <w:tcPr>
            <w:tcW w:w="1440" w:type="dxa"/>
            <w:shd w:val="clear" w:color="auto" w:fill="D8D8D8" w:themeFill="background1" w:themeFillShade="D9"/>
          </w:tcPr>
          <w:p w14:paraId="72648902">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36.41%</w:t>
            </w:r>
          </w:p>
        </w:tc>
        <w:tc>
          <w:tcPr>
            <w:tcW w:w="1530" w:type="dxa"/>
            <w:shd w:val="clear" w:color="auto" w:fill="D9D9D9"/>
          </w:tcPr>
          <w:p w14:paraId="15E90C89">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36.41%</w:t>
            </w:r>
          </w:p>
        </w:tc>
        <w:tc>
          <w:tcPr>
            <w:tcW w:w="1620" w:type="dxa"/>
            <w:shd w:val="clear" w:color="auto" w:fill="D9D9D9"/>
          </w:tcPr>
          <w:p w14:paraId="2892B285">
            <w:pPr>
              <w:spacing w:line="360" w:lineRule="auto"/>
              <w:jc w:val="center"/>
              <w:rPr>
                <w:rFonts w:ascii="Times New Roman" w:hAnsi="Times New Roman" w:cs="Times New Roman"/>
                <w:sz w:val="20"/>
                <w:szCs w:val="20"/>
              </w:rPr>
            </w:pPr>
            <w:r>
              <w:rPr>
                <w:rFonts w:ascii="Times New Roman" w:hAnsi="Times New Roman" w:cs="Times New Roman"/>
                <w:sz w:val="20"/>
                <w:szCs w:val="20"/>
              </w:rPr>
              <w:t>30.27%</w:t>
            </w:r>
          </w:p>
        </w:tc>
      </w:tr>
      <w:tr w14:paraId="5E60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restart"/>
            <w:tcBorders>
              <w:top w:val="single" w:color="auto" w:sz="4" w:space="0"/>
              <w:left w:val="single" w:color="auto" w:sz="4" w:space="0"/>
              <w:bottom w:val="single" w:color="auto" w:sz="4" w:space="0"/>
              <w:right w:val="single" w:color="auto" w:sz="4" w:space="0"/>
            </w:tcBorders>
            <w:vAlign w:val="center"/>
          </w:tcPr>
          <w:p w14:paraId="49B6608A">
            <w:pPr>
              <w:pStyle w:val="24"/>
              <w:numPr>
                <w:ilvl w:val="0"/>
                <w:numId w:val="9"/>
              </w:numPr>
              <w:spacing w:after="0" w:line="240" w:lineRule="auto"/>
              <w:rPr>
                <w:rFonts w:ascii="Times New Roman" w:hAnsi="Times New Roman" w:eastAsia="Times New Roman" w:cs="Times New Roman"/>
                <w:bCs/>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vAlign w:val="center"/>
          </w:tcPr>
          <w:p w14:paraId="74A271A2">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Gender Parity Index</w:t>
            </w:r>
          </w:p>
        </w:tc>
        <w:tc>
          <w:tcPr>
            <w:tcW w:w="2430" w:type="dxa"/>
            <w:tcBorders>
              <w:top w:val="single" w:color="auto" w:sz="4" w:space="0"/>
              <w:left w:val="single" w:color="auto" w:sz="4" w:space="0"/>
              <w:bottom w:val="single" w:color="auto" w:sz="4" w:space="0"/>
              <w:right w:val="single" w:color="auto" w:sz="4" w:space="0"/>
            </w:tcBorders>
          </w:tcPr>
          <w:p w14:paraId="16EE5C73">
            <w:pPr>
              <w:numPr>
                <w:ilvl w:val="0"/>
                <w:numId w:val="14"/>
              </w:numPr>
              <w:tabs>
                <w:tab w:val="left" w:pos="360"/>
              </w:tabs>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Kindergarten</w:t>
            </w:r>
          </w:p>
        </w:tc>
        <w:tc>
          <w:tcPr>
            <w:tcW w:w="1710" w:type="dxa"/>
            <w:tcBorders>
              <w:top w:val="single" w:color="auto" w:sz="4" w:space="0"/>
              <w:left w:val="single" w:color="auto" w:sz="4" w:space="0"/>
              <w:bottom w:val="single" w:color="auto" w:sz="4" w:space="0"/>
              <w:right w:val="single" w:color="auto" w:sz="4" w:space="0"/>
            </w:tcBorders>
            <w:vAlign w:val="center"/>
          </w:tcPr>
          <w:p w14:paraId="515D605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0.98</w:t>
            </w:r>
          </w:p>
        </w:tc>
        <w:tc>
          <w:tcPr>
            <w:tcW w:w="1620" w:type="dxa"/>
            <w:tcBorders>
              <w:top w:val="single" w:color="auto" w:sz="4" w:space="0"/>
              <w:left w:val="single" w:color="auto" w:sz="4" w:space="0"/>
              <w:bottom w:val="single" w:color="auto" w:sz="4" w:space="0"/>
              <w:right w:val="single" w:color="auto" w:sz="4" w:space="0"/>
            </w:tcBorders>
            <w:vAlign w:val="center"/>
          </w:tcPr>
          <w:p w14:paraId="0646157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0.97</w:t>
            </w:r>
          </w:p>
        </w:tc>
        <w:tc>
          <w:tcPr>
            <w:tcW w:w="1620" w:type="dxa"/>
            <w:tcBorders>
              <w:top w:val="single" w:color="auto" w:sz="4" w:space="0"/>
              <w:left w:val="single" w:color="auto" w:sz="4" w:space="0"/>
              <w:bottom w:val="single" w:color="auto" w:sz="4" w:space="0"/>
              <w:right w:val="single" w:color="auto" w:sz="4" w:space="0"/>
            </w:tcBorders>
            <w:vAlign w:val="center"/>
          </w:tcPr>
          <w:p w14:paraId="49B3507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0.96</w:t>
            </w:r>
          </w:p>
        </w:tc>
        <w:tc>
          <w:tcPr>
            <w:tcW w:w="1440" w:type="dxa"/>
          </w:tcPr>
          <w:p w14:paraId="7F2319A7">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0.94</w:t>
            </w:r>
          </w:p>
        </w:tc>
        <w:tc>
          <w:tcPr>
            <w:tcW w:w="1530" w:type="dxa"/>
          </w:tcPr>
          <w:p w14:paraId="009C2ADC">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0.96</w:t>
            </w:r>
          </w:p>
        </w:tc>
        <w:tc>
          <w:tcPr>
            <w:tcW w:w="1620" w:type="dxa"/>
          </w:tcPr>
          <w:p w14:paraId="0224F1E6">
            <w:pPr>
              <w:spacing w:line="360" w:lineRule="auto"/>
              <w:jc w:val="center"/>
              <w:rPr>
                <w:rFonts w:ascii="Times New Roman" w:hAnsi="Times New Roman" w:cs="Times New Roman"/>
                <w:sz w:val="20"/>
                <w:szCs w:val="20"/>
              </w:rPr>
            </w:pPr>
            <w:r>
              <w:rPr>
                <w:rFonts w:ascii="Times New Roman" w:hAnsi="Times New Roman" w:cs="Times New Roman"/>
                <w:sz w:val="20"/>
                <w:szCs w:val="20"/>
              </w:rPr>
              <w:t>0.96</w:t>
            </w:r>
          </w:p>
        </w:tc>
      </w:tr>
      <w:tr w14:paraId="4B85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DB21CE6">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750B7FF0">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553818F7">
            <w:pPr>
              <w:numPr>
                <w:ilvl w:val="0"/>
                <w:numId w:val="14"/>
              </w:numPr>
              <w:tabs>
                <w:tab w:val="left" w:pos="360"/>
              </w:tabs>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Primary</w:t>
            </w:r>
          </w:p>
        </w:tc>
        <w:tc>
          <w:tcPr>
            <w:tcW w:w="1710" w:type="dxa"/>
            <w:tcBorders>
              <w:top w:val="single" w:color="auto" w:sz="4" w:space="0"/>
              <w:left w:val="single" w:color="auto" w:sz="4" w:space="0"/>
              <w:bottom w:val="single" w:color="auto" w:sz="4" w:space="0"/>
              <w:right w:val="single" w:color="auto" w:sz="4" w:space="0"/>
            </w:tcBorders>
            <w:vAlign w:val="center"/>
          </w:tcPr>
          <w:p w14:paraId="6422A27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0.98</w:t>
            </w:r>
          </w:p>
        </w:tc>
        <w:tc>
          <w:tcPr>
            <w:tcW w:w="1620" w:type="dxa"/>
            <w:tcBorders>
              <w:top w:val="single" w:color="auto" w:sz="4" w:space="0"/>
              <w:left w:val="single" w:color="auto" w:sz="4" w:space="0"/>
              <w:bottom w:val="single" w:color="auto" w:sz="4" w:space="0"/>
              <w:right w:val="single" w:color="auto" w:sz="4" w:space="0"/>
            </w:tcBorders>
            <w:vAlign w:val="center"/>
          </w:tcPr>
          <w:p w14:paraId="1FBF3D7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0.98</w:t>
            </w:r>
          </w:p>
        </w:tc>
        <w:tc>
          <w:tcPr>
            <w:tcW w:w="1620" w:type="dxa"/>
            <w:tcBorders>
              <w:top w:val="single" w:color="auto" w:sz="4" w:space="0"/>
              <w:left w:val="single" w:color="auto" w:sz="4" w:space="0"/>
              <w:bottom w:val="single" w:color="auto" w:sz="4" w:space="0"/>
              <w:right w:val="single" w:color="auto" w:sz="4" w:space="0"/>
            </w:tcBorders>
            <w:vAlign w:val="center"/>
          </w:tcPr>
          <w:p w14:paraId="06A5EBB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1.03</w:t>
            </w:r>
          </w:p>
        </w:tc>
        <w:tc>
          <w:tcPr>
            <w:tcW w:w="1440" w:type="dxa"/>
          </w:tcPr>
          <w:p w14:paraId="26501A54">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1.01</w:t>
            </w:r>
          </w:p>
        </w:tc>
        <w:tc>
          <w:tcPr>
            <w:tcW w:w="1530" w:type="dxa"/>
          </w:tcPr>
          <w:p w14:paraId="6A0EDC5C">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1.03</w:t>
            </w:r>
          </w:p>
        </w:tc>
        <w:tc>
          <w:tcPr>
            <w:tcW w:w="1620" w:type="dxa"/>
          </w:tcPr>
          <w:p w14:paraId="57289913">
            <w:pPr>
              <w:spacing w:line="360" w:lineRule="auto"/>
              <w:jc w:val="center"/>
              <w:rPr>
                <w:rFonts w:ascii="Times New Roman" w:hAnsi="Times New Roman" w:cs="Times New Roman"/>
                <w:sz w:val="20"/>
                <w:szCs w:val="20"/>
              </w:rPr>
            </w:pPr>
            <w:r>
              <w:rPr>
                <w:rFonts w:ascii="Times New Roman" w:hAnsi="Times New Roman" w:cs="Times New Roman"/>
                <w:sz w:val="20"/>
                <w:szCs w:val="20"/>
              </w:rPr>
              <w:t>1.01</w:t>
            </w:r>
          </w:p>
        </w:tc>
      </w:tr>
      <w:tr w14:paraId="6948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5676AF28">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222A6A79">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50436EBC">
            <w:pPr>
              <w:numPr>
                <w:ilvl w:val="0"/>
                <w:numId w:val="14"/>
              </w:numPr>
              <w:tabs>
                <w:tab w:val="left" w:pos="360"/>
              </w:tabs>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JHS</w:t>
            </w:r>
          </w:p>
        </w:tc>
        <w:tc>
          <w:tcPr>
            <w:tcW w:w="1710" w:type="dxa"/>
            <w:tcBorders>
              <w:top w:val="single" w:color="auto" w:sz="4" w:space="0"/>
              <w:left w:val="single" w:color="auto" w:sz="4" w:space="0"/>
              <w:bottom w:val="single" w:color="auto" w:sz="4" w:space="0"/>
              <w:right w:val="single" w:color="auto" w:sz="4" w:space="0"/>
            </w:tcBorders>
            <w:vAlign w:val="center"/>
          </w:tcPr>
          <w:p w14:paraId="45FC06C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1.03</w:t>
            </w:r>
          </w:p>
        </w:tc>
        <w:tc>
          <w:tcPr>
            <w:tcW w:w="1620" w:type="dxa"/>
            <w:tcBorders>
              <w:top w:val="single" w:color="auto" w:sz="4" w:space="0"/>
              <w:left w:val="single" w:color="auto" w:sz="4" w:space="0"/>
              <w:bottom w:val="single" w:color="auto" w:sz="4" w:space="0"/>
              <w:right w:val="single" w:color="auto" w:sz="4" w:space="0"/>
            </w:tcBorders>
            <w:vAlign w:val="center"/>
          </w:tcPr>
          <w:p w14:paraId="709CCA0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w:t>
            </w:r>
          </w:p>
        </w:tc>
        <w:tc>
          <w:tcPr>
            <w:tcW w:w="1620" w:type="dxa"/>
            <w:tcBorders>
              <w:top w:val="single" w:color="auto" w:sz="4" w:space="0"/>
              <w:left w:val="single" w:color="auto" w:sz="4" w:space="0"/>
              <w:bottom w:val="single" w:color="auto" w:sz="4" w:space="0"/>
              <w:right w:val="single" w:color="auto" w:sz="4" w:space="0"/>
            </w:tcBorders>
            <w:vAlign w:val="center"/>
          </w:tcPr>
          <w:p w14:paraId="49FF17D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w:t>
            </w:r>
          </w:p>
        </w:tc>
        <w:tc>
          <w:tcPr>
            <w:tcW w:w="1440" w:type="dxa"/>
          </w:tcPr>
          <w:p w14:paraId="5A41FD26">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0.98</w:t>
            </w:r>
          </w:p>
        </w:tc>
        <w:tc>
          <w:tcPr>
            <w:tcW w:w="1530" w:type="dxa"/>
          </w:tcPr>
          <w:p w14:paraId="3099928B">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1.0</w:t>
            </w:r>
          </w:p>
        </w:tc>
        <w:tc>
          <w:tcPr>
            <w:tcW w:w="1620" w:type="dxa"/>
          </w:tcPr>
          <w:p w14:paraId="0E979C04">
            <w:pPr>
              <w:spacing w:line="360" w:lineRule="auto"/>
              <w:jc w:val="center"/>
              <w:rPr>
                <w:rFonts w:ascii="Times New Roman" w:hAnsi="Times New Roman" w:cs="Times New Roman"/>
                <w:sz w:val="20"/>
                <w:szCs w:val="20"/>
              </w:rPr>
            </w:pPr>
            <w:r>
              <w:rPr>
                <w:rFonts w:ascii="Times New Roman" w:hAnsi="Times New Roman" w:cs="Times New Roman"/>
                <w:sz w:val="20"/>
                <w:szCs w:val="20"/>
              </w:rPr>
              <w:t>1.05</w:t>
            </w:r>
          </w:p>
        </w:tc>
      </w:tr>
      <w:tr w14:paraId="2813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03D6BBA">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3F5A98A2">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119E656E">
            <w:pPr>
              <w:pStyle w:val="24"/>
              <w:numPr>
                <w:ilvl w:val="0"/>
                <w:numId w:val="14"/>
              </w:numPr>
              <w:rPr>
                <w:rFonts w:ascii="Times New Roman" w:hAnsi="Times New Roman" w:cs="Times New Roman"/>
                <w:sz w:val="20"/>
                <w:szCs w:val="20"/>
              </w:rPr>
            </w:pPr>
            <w:r>
              <w:rPr>
                <w:rFonts w:ascii="Times New Roman" w:hAnsi="Times New Roman" w:eastAsia="Times New Roman" w:cs="Times New Roman"/>
                <w:sz w:val="20"/>
                <w:szCs w:val="20"/>
                <w:lang w:val="en-GB"/>
              </w:rPr>
              <w:t>SHS</w:t>
            </w:r>
          </w:p>
        </w:tc>
        <w:tc>
          <w:tcPr>
            <w:tcW w:w="1710" w:type="dxa"/>
            <w:tcBorders>
              <w:top w:val="single" w:color="auto" w:sz="4" w:space="0"/>
              <w:left w:val="single" w:color="auto" w:sz="4" w:space="0"/>
              <w:bottom w:val="single" w:color="auto" w:sz="4" w:space="0"/>
              <w:right w:val="single" w:color="auto" w:sz="4" w:space="0"/>
            </w:tcBorders>
            <w:vAlign w:val="center"/>
          </w:tcPr>
          <w:p w14:paraId="04A5F9F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1.07</w:t>
            </w:r>
          </w:p>
        </w:tc>
        <w:tc>
          <w:tcPr>
            <w:tcW w:w="1620" w:type="dxa"/>
            <w:tcBorders>
              <w:top w:val="single" w:color="auto" w:sz="4" w:space="0"/>
              <w:left w:val="single" w:color="auto" w:sz="4" w:space="0"/>
              <w:bottom w:val="single" w:color="auto" w:sz="4" w:space="0"/>
              <w:right w:val="single" w:color="auto" w:sz="4" w:space="0"/>
            </w:tcBorders>
            <w:vAlign w:val="center"/>
          </w:tcPr>
          <w:p w14:paraId="6E742E4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w:t>
            </w:r>
          </w:p>
        </w:tc>
        <w:tc>
          <w:tcPr>
            <w:tcW w:w="1620" w:type="dxa"/>
            <w:tcBorders>
              <w:top w:val="single" w:color="auto" w:sz="4" w:space="0"/>
              <w:left w:val="single" w:color="auto" w:sz="4" w:space="0"/>
              <w:bottom w:val="single" w:color="auto" w:sz="4" w:space="0"/>
              <w:right w:val="single" w:color="auto" w:sz="4" w:space="0"/>
            </w:tcBorders>
            <w:vAlign w:val="center"/>
          </w:tcPr>
          <w:p w14:paraId="7A1F818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1.3</w:t>
            </w:r>
          </w:p>
        </w:tc>
        <w:tc>
          <w:tcPr>
            <w:tcW w:w="1440" w:type="dxa"/>
          </w:tcPr>
          <w:p w14:paraId="25B8F315">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1.39</w:t>
            </w:r>
          </w:p>
        </w:tc>
        <w:tc>
          <w:tcPr>
            <w:tcW w:w="1530" w:type="dxa"/>
          </w:tcPr>
          <w:p w14:paraId="43523AC7">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1.39</w:t>
            </w:r>
          </w:p>
        </w:tc>
        <w:tc>
          <w:tcPr>
            <w:tcW w:w="1620" w:type="dxa"/>
          </w:tcPr>
          <w:p w14:paraId="44A5CF71">
            <w:pPr>
              <w:spacing w:line="360" w:lineRule="auto"/>
              <w:jc w:val="center"/>
              <w:rPr>
                <w:rFonts w:ascii="Times New Roman" w:hAnsi="Times New Roman" w:cs="Times New Roman"/>
                <w:sz w:val="20"/>
                <w:szCs w:val="20"/>
              </w:rPr>
            </w:pPr>
            <w:r>
              <w:rPr>
                <w:rFonts w:ascii="Times New Roman" w:hAnsi="Times New Roman" w:cs="Times New Roman"/>
                <w:sz w:val="20"/>
                <w:szCs w:val="20"/>
              </w:rPr>
              <w:t>1.15</w:t>
            </w:r>
          </w:p>
        </w:tc>
      </w:tr>
      <w:tr w14:paraId="7716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203D7C51">
            <w:pPr>
              <w:pStyle w:val="24"/>
              <w:numPr>
                <w:ilvl w:val="0"/>
                <w:numId w:val="9"/>
              </w:numPr>
              <w:spacing w:after="0" w:line="240" w:lineRule="auto"/>
              <w:rPr>
                <w:rFonts w:ascii="Times New Roman" w:hAnsi="Times New Roman" w:eastAsia="Times New Roman" w:cs="Times New Roman"/>
                <w:bCs/>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71D6E11A">
            <w:pPr>
              <w:spacing w:after="0" w:line="240" w:lineRule="auto"/>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Completion rate </w:t>
            </w:r>
          </w:p>
          <w:p w14:paraId="5B868CB1">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53D05205">
            <w:pPr>
              <w:numPr>
                <w:ilvl w:val="0"/>
                <w:numId w:val="1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Kindergarten</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79E75CF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63.8%</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BE7213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63.8%</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2CF2039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63.8%</w:t>
            </w:r>
          </w:p>
        </w:tc>
        <w:tc>
          <w:tcPr>
            <w:tcW w:w="1440" w:type="dxa"/>
            <w:shd w:val="clear" w:color="auto" w:fill="D8D8D8" w:themeFill="background1" w:themeFillShade="D9"/>
          </w:tcPr>
          <w:p w14:paraId="5B806BB4">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91.41%</w:t>
            </w:r>
          </w:p>
        </w:tc>
        <w:tc>
          <w:tcPr>
            <w:tcW w:w="1530" w:type="dxa"/>
            <w:shd w:val="clear" w:color="auto" w:fill="D9D9D9"/>
          </w:tcPr>
          <w:p w14:paraId="68B0CCE7">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91.41%</w:t>
            </w:r>
          </w:p>
        </w:tc>
        <w:tc>
          <w:tcPr>
            <w:tcW w:w="1620" w:type="dxa"/>
            <w:shd w:val="clear" w:color="auto" w:fill="D9D9D9"/>
          </w:tcPr>
          <w:p w14:paraId="61B1A510">
            <w:pPr>
              <w:spacing w:line="360" w:lineRule="auto"/>
              <w:jc w:val="center"/>
              <w:rPr>
                <w:rFonts w:ascii="Times New Roman" w:hAnsi="Times New Roman" w:cs="Times New Roman"/>
                <w:sz w:val="20"/>
                <w:szCs w:val="20"/>
              </w:rPr>
            </w:pPr>
            <w:r>
              <w:rPr>
                <w:rFonts w:ascii="Times New Roman" w:hAnsi="Times New Roman" w:cs="Times New Roman"/>
                <w:sz w:val="20"/>
                <w:szCs w:val="20"/>
              </w:rPr>
              <w:t>90.88%</w:t>
            </w:r>
          </w:p>
        </w:tc>
      </w:tr>
      <w:tr w14:paraId="07B2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D9F56F0">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54D70D3A">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59235451">
            <w:pPr>
              <w:numPr>
                <w:ilvl w:val="0"/>
                <w:numId w:val="1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Primary</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3B6696F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96.8%</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9BB79D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94.7%</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83F338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92.54</w:t>
            </w:r>
          </w:p>
        </w:tc>
        <w:tc>
          <w:tcPr>
            <w:tcW w:w="1440" w:type="dxa"/>
            <w:shd w:val="clear" w:color="auto" w:fill="D8D8D8" w:themeFill="background1" w:themeFillShade="D9"/>
          </w:tcPr>
          <w:p w14:paraId="0BA9BCBC">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84.7%</w:t>
            </w:r>
          </w:p>
        </w:tc>
        <w:tc>
          <w:tcPr>
            <w:tcW w:w="1530" w:type="dxa"/>
            <w:shd w:val="clear" w:color="auto" w:fill="D9D9D9"/>
          </w:tcPr>
          <w:p w14:paraId="09BA2C3A">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92.54%</w:t>
            </w:r>
          </w:p>
        </w:tc>
        <w:tc>
          <w:tcPr>
            <w:tcW w:w="1620" w:type="dxa"/>
            <w:shd w:val="clear" w:color="auto" w:fill="D9D9D9"/>
          </w:tcPr>
          <w:p w14:paraId="463F5BD3">
            <w:pPr>
              <w:spacing w:line="360" w:lineRule="auto"/>
              <w:jc w:val="center"/>
              <w:rPr>
                <w:rFonts w:ascii="Times New Roman" w:hAnsi="Times New Roman" w:cs="Times New Roman"/>
                <w:sz w:val="20"/>
                <w:szCs w:val="20"/>
              </w:rPr>
            </w:pPr>
            <w:r>
              <w:rPr>
                <w:rFonts w:ascii="Times New Roman" w:hAnsi="Times New Roman" w:cs="Times New Roman"/>
                <w:sz w:val="20"/>
                <w:szCs w:val="20"/>
              </w:rPr>
              <w:t>92.69%</w:t>
            </w:r>
          </w:p>
        </w:tc>
      </w:tr>
      <w:tr w14:paraId="76E2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68FEA7AF">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0C73C190">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4FD574BF">
            <w:pPr>
              <w:numPr>
                <w:ilvl w:val="0"/>
                <w:numId w:val="1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JHS</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4AECAF8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7515EC2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96.3%</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512BEB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89.56%</w:t>
            </w:r>
          </w:p>
        </w:tc>
        <w:tc>
          <w:tcPr>
            <w:tcW w:w="1440" w:type="dxa"/>
            <w:shd w:val="clear" w:color="auto" w:fill="D8D8D8" w:themeFill="background1" w:themeFillShade="D9"/>
          </w:tcPr>
          <w:p w14:paraId="1B2C0F49">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82.47%</w:t>
            </w:r>
          </w:p>
        </w:tc>
        <w:tc>
          <w:tcPr>
            <w:tcW w:w="1530" w:type="dxa"/>
            <w:shd w:val="clear" w:color="auto" w:fill="D9D9D9"/>
          </w:tcPr>
          <w:p w14:paraId="045326F5">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89.56%</w:t>
            </w:r>
          </w:p>
        </w:tc>
        <w:tc>
          <w:tcPr>
            <w:tcW w:w="1620" w:type="dxa"/>
            <w:shd w:val="clear" w:color="auto" w:fill="D9D9D9"/>
          </w:tcPr>
          <w:p w14:paraId="050A4AC4">
            <w:pPr>
              <w:spacing w:line="360" w:lineRule="auto"/>
              <w:jc w:val="center"/>
              <w:rPr>
                <w:rFonts w:ascii="Times New Roman" w:hAnsi="Times New Roman" w:cs="Times New Roman"/>
                <w:sz w:val="20"/>
                <w:szCs w:val="20"/>
              </w:rPr>
            </w:pPr>
            <w:r>
              <w:rPr>
                <w:rFonts w:ascii="Times New Roman" w:hAnsi="Times New Roman" w:cs="Times New Roman"/>
                <w:sz w:val="20"/>
                <w:szCs w:val="20"/>
              </w:rPr>
              <w:t>87.95%</w:t>
            </w:r>
          </w:p>
        </w:tc>
      </w:tr>
      <w:tr w14:paraId="259A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7C6FA1C4">
            <w:pPr>
              <w:pStyle w:val="24"/>
              <w:numPr>
                <w:ilvl w:val="0"/>
                <w:numId w:val="9"/>
              </w:numPr>
              <w:spacing w:after="0" w:line="240" w:lineRule="auto"/>
              <w:jc w:val="center"/>
              <w:rPr>
                <w:rFonts w:ascii="Times New Roman" w:hAnsi="Times New Roman" w:eastAsia="Times New Roman" w:cs="Times New Roman"/>
                <w:bCs/>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619DDF8D">
            <w:pPr>
              <w:spacing w:after="0" w:line="240" w:lineRule="auto"/>
              <w:rPr>
                <w:rFonts w:ascii="Times New Roman" w:hAnsi="Times New Roman" w:eastAsia="Times New Roman" w:cs="Times New Roman"/>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00960E1A">
            <w:pPr>
              <w:pStyle w:val="24"/>
              <w:numPr>
                <w:ilvl w:val="0"/>
                <w:numId w:val="15"/>
              </w:numPr>
              <w:rPr>
                <w:rFonts w:ascii="Times New Roman" w:hAnsi="Times New Roman" w:cs="Times New Roman"/>
                <w:sz w:val="20"/>
                <w:szCs w:val="20"/>
              </w:rPr>
            </w:pPr>
            <w:r>
              <w:rPr>
                <w:rFonts w:ascii="Times New Roman" w:hAnsi="Times New Roman" w:eastAsia="Times New Roman" w:cs="Times New Roman"/>
                <w:sz w:val="20"/>
                <w:szCs w:val="20"/>
                <w:lang w:val="en-GB"/>
              </w:rPr>
              <w:t>SHS</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17A7A1D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93.6%</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4F75C0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110.5%</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7092C8C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99.1%</w:t>
            </w:r>
          </w:p>
        </w:tc>
        <w:tc>
          <w:tcPr>
            <w:tcW w:w="1440" w:type="dxa"/>
            <w:shd w:val="clear" w:color="auto" w:fill="D8D8D8" w:themeFill="background1" w:themeFillShade="D9"/>
          </w:tcPr>
          <w:p w14:paraId="4A2E6EE0">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38.99%</w:t>
            </w:r>
          </w:p>
        </w:tc>
        <w:tc>
          <w:tcPr>
            <w:tcW w:w="1530" w:type="dxa"/>
            <w:shd w:val="clear" w:color="auto" w:fill="D9D9D9"/>
          </w:tcPr>
          <w:p w14:paraId="7260561F">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99.10%</w:t>
            </w:r>
          </w:p>
        </w:tc>
        <w:tc>
          <w:tcPr>
            <w:tcW w:w="1620" w:type="dxa"/>
            <w:shd w:val="clear" w:color="auto" w:fill="D9D9D9"/>
          </w:tcPr>
          <w:p w14:paraId="74D4DFCA">
            <w:pPr>
              <w:spacing w:line="360" w:lineRule="auto"/>
              <w:jc w:val="center"/>
              <w:rPr>
                <w:rFonts w:ascii="Times New Roman" w:hAnsi="Times New Roman" w:cs="Times New Roman"/>
                <w:sz w:val="20"/>
                <w:szCs w:val="20"/>
              </w:rPr>
            </w:pPr>
            <w:r>
              <w:rPr>
                <w:rFonts w:ascii="Times New Roman" w:hAnsi="Times New Roman" w:cs="Times New Roman"/>
                <w:sz w:val="20"/>
                <w:szCs w:val="20"/>
              </w:rPr>
              <w:t>39.20%</w:t>
            </w:r>
          </w:p>
        </w:tc>
      </w:tr>
      <w:tr w14:paraId="50A8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14:paraId="2A3E7B7C">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vAlign w:val="center"/>
          </w:tcPr>
          <w:p w14:paraId="3A13FEA4">
            <w:p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Cs/>
                <w:sz w:val="20"/>
                <w:szCs w:val="20"/>
                <w:lang w:val="en-GB"/>
              </w:rPr>
              <w:t>Pass rate</w:t>
            </w:r>
          </w:p>
          <w:p w14:paraId="2C1CB511">
            <w:pPr>
              <w:spacing w:after="0" w:line="240" w:lineRule="auto"/>
              <w:rPr>
                <w:rFonts w:ascii="Times New Roman" w:hAnsi="Times New Roman" w:eastAsia="Times New Roman" w:cs="Times New Roman"/>
                <w:bCs/>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645B1EB2">
            <w:pPr>
              <w:pStyle w:val="24"/>
              <w:numPr>
                <w:ilvl w:val="0"/>
                <w:numId w:val="16"/>
              </w:num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Cs/>
                <w:sz w:val="20"/>
                <w:szCs w:val="20"/>
                <w:lang w:val="en-GB"/>
              </w:rPr>
              <w:t>JHS</w:t>
            </w:r>
          </w:p>
        </w:tc>
        <w:tc>
          <w:tcPr>
            <w:tcW w:w="1710" w:type="dxa"/>
            <w:tcBorders>
              <w:top w:val="single" w:color="auto" w:sz="4" w:space="0"/>
              <w:left w:val="single" w:color="auto" w:sz="4" w:space="0"/>
              <w:bottom w:val="single" w:color="auto" w:sz="4" w:space="0"/>
              <w:right w:val="single" w:color="auto" w:sz="4" w:space="0"/>
            </w:tcBorders>
            <w:vAlign w:val="center"/>
          </w:tcPr>
          <w:p w14:paraId="16B5847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89.2%</w:t>
            </w:r>
          </w:p>
        </w:tc>
        <w:tc>
          <w:tcPr>
            <w:tcW w:w="1620" w:type="dxa"/>
            <w:tcBorders>
              <w:top w:val="single" w:color="auto" w:sz="4" w:space="0"/>
              <w:left w:val="single" w:color="auto" w:sz="4" w:space="0"/>
              <w:bottom w:val="single" w:color="auto" w:sz="4" w:space="0"/>
              <w:right w:val="single" w:color="auto" w:sz="4" w:space="0"/>
            </w:tcBorders>
            <w:vAlign w:val="center"/>
          </w:tcPr>
          <w:p w14:paraId="4CA8392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91.8%</w:t>
            </w:r>
          </w:p>
        </w:tc>
        <w:tc>
          <w:tcPr>
            <w:tcW w:w="1620" w:type="dxa"/>
            <w:tcBorders>
              <w:top w:val="single" w:color="auto" w:sz="4" w:space="0"/>
              <w:left w:val="single" w:color="auto" w:sz="4" w:space="0"/>
              <w:bottom w:val="single" w:color="auto" w:sz="4" w:space="0"/>
              <w:right w:val="single" w:color="auto" w:sz="4" w:space="0"/>
            </w:tcBorders>
            <w:vAlign w:val="center"/>
          </w:tcPr>
          <w:p w14:paraId="6CA5582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91.8%</w:t>
            </w:r>
          </w:p>
        </w:tc>
        <w:tc>
          <w:tcPr>
            <w:tcW w:w="1440" w:type="dxa"/>
            <w:vAlign w:val="center"/>
          </w:tcPr>
          <w:p w14:paraId="1E346302">
            <w:pPr>
              <w:spacing w:after="0" w:line="240" w:lineRule="auto"/>
              <w:jc w:val="center"/>
              <w:rPr>
                <w:rFonts w:ascii="Times New Roman" w:hAnsi="Times New Roman" w:eastAsia="Times New Roman" w:cs="Times New Roman"/>
                <w:sz w:val="20"/>
                <w:szCs w:val="20"/>
                <w:lang w:val="en-GB"/>
              </w:rPr>
            </w:pPr>
            <w:r>
              <w:rPr>
                <w:rFonts w:ascii="Times New Roman" w:hAnsi="Times New Roman" w:cs="Times New Roman"/>
                <w:sz w:val="20"/>
                <w:szCs w:val="20"/>
              </w:rPr>
              <w:t>Broad sheet yet to be released by WAEC for Analysis</w:t>
            </w:r>
          </w:p>
        </w:tc>
        <w:tc>
          <w:tcPr>
            <w:tcW w:w="1530" w:type="dxa"/>
          </w:tcPr>
          <w:p w14:paraId="5AC70117">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1F81C67E">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Will be written in May</w:t>
            </w:r>
          </w:p>
        </w:tc>
      </w:tr>
      <w:tr w14:paraId="4470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14:paraId="70660A61">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vAlign w:val="center"/>
          </w:tcPr>
          <w:p w14:paraId="15A918DC">
            <w:pPr>
              <w:spacing w:after="0" w:line="240" w:lineRule="auto"/>
              <w:rPr>
                <w:rFonts w:ascii="Times New Roman" w:hAnsi="Times New Roman" w:eastAsia="Times New Roman" w:cs="Times New Roman"/>
                <w:bCs/>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132B7FE0">
            <w:pPr>
              <w:pStyle w:val="24"/>
              <w:numPr>
                <w:ilvl w:val="0"/>
                <w:numId w:val="16"/>
              </w:num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Cs/>
                <w:sz w:val="20"/>
                <w:szCs w:val="20"/>
                <w:lang w:val="en-GB"/>
              </w:rPr>
              <w:t>SHS</w:t>
            </w:r>
          </w:p>
        </w:tc>
        <w:tc>
          <w:tcPr>
            <w:tcW w:w="1710" w:type="dxa"/>
            <w:tcBorders>
              <w:top w:val="single" w:color="auto" w:sz="4" w:space="0"/>
              <w:left w:val="single" w:color="auto" w:sz="4" w:space="0"/>
              <w:bottom w:val="single" w:color="auto" w:sz="4" w:space="0"/>
              <w:right w:val="single" w:color="auto" w:sz="4" w:space="0"/>
            </w:tcBorders>
            <w:vAlign w:val="center"/>
          </w:tcPr>
          <w:p w14:paraId="06D5609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92%</w:t>
            </w:r>
          </w:p>
        </w:tc>
        <w:tc>
          <w:tcPr>
            <w:tcW w:w="1620" w:type="dxa"/>
            <w:tcBorders>
              <w:top w:val="single" w:color="auto" w:sz="4" w:space="0"/>
              <w:left w:val="single" w:color="auto" w:sz="4" w:space="0"/>
              <w:bottom w:val="single" w:color="auto" w:sz="4" w:space="0"/>
              <w:right w:val="single" w:color="auto" w:sz="4" w:space="0"/>
            </w:tcBorders>
            <w:vAlign w:val="center"/>
          </w:tcPr>
          <w:p w14:paraId="42E7146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82.8%</w:t>
            </w:r>
          </w:p>
        </w:tc>
        <w:tc>
          <w:tcPr>
            <w:tcW w:w="1620" w:type="dxa"/>
            <w:tcBorders>
              <w:top w:val="single" w:color="auto" w:sz="4" w:space="0"/>
              <w:left w:val="single" w:color="auto" w:sz="4" w:space="0"/>
              <w:bottom w:val="single" w:color="auto" w:sz="4" w:space="0"/>
              <w:right w:val="single" w:color="auto" w:sz="4" w:space="0"/>
            </w:tcBorders>
            <w:vAlign w:val="center"/>
          </w:tcPr>
          <w:p w14:paraId="3606E9A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82.8%</w:t>
            </w:r>
          </w:p>
        </w:tc>
        <w:tc>
          <w:tcPr>
            <w:tcW w:w="1440" w:type="dxa"/>
            <w:vAlign w:val="center"/>
          </w:tcPr>
          <w:p w14:paraId="423E2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Broad sheet yet to be released by WAEC for Analysis</w:t>
            </w:r>
          </w:p>
        </w:tc>
        <w:tc>
          <w:tcPr>
            <w:tcW w:w="1530" w:type="dxa"/>
          </w:tcPr>
          <w:p w14:paraId="66A532E1">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6A9DD7E6">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Will be written in June</w:t>
            </w:r>
          </w:p>
        </w:tc>
      </w:tr>
      <w:tr w14:paraId="458A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restart"/>
            <w:tcBorders>
              <w:top w:val="single" w:color="auto" w:sz="4" w:space="0"/>
              <w:left w:val="single" w:color="auto" w:sz="4" w:space="0"/>
              <w:right w:val="single" w:color="auto" w:sz="4" w:space="0"/>
            </w:tcBorders>
            <w:vAlign w:val="center"/>
          </w:tcPr>
          <w:p w14:paraId="2A8D72C0">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vAlign w:val="center"/>
          </w:tcPr>
          <w:p w14:paraId="0F77F224">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 xml:space="preserve">Proportion of health facilities that are functional </w:t>
            </w:r>
          </w:p>
        </w:tc>
        <w:tc>
          <w:tcPr>
            <w:tcW w:w="2430" w:type="dxa"/>
            <w:tcBorders>
              <w:top w:val="single" w:color="auto" w:sz="4" w:space="0"/>
              <w:left w:val="single" w:color="auto" w:sz="4" w:space="0"/>
              <w:right w:val="single" w:color="auto" w:sz="4" w:space="0"/>
            </w:tcBorders>
          </w:tcPr>
          <w:p w14:paraId="07910003">
            <w:pPr>
              <w:numPr>
                <w:ilvl w:val="0"/>
                <w:numId w:val="17"/>
              </w:num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CHPS Compound</w:t>
            </w:r>
          </w:p>
        </w:tc>
        <w:tc>
          <w:tcPr>
            <w:tcW w:w="1710" w:type="dxa"/>
            <w:tcBorders>
              <w:top w:val="single" w:color="auto" w:sz="4" w:space="0"/>
              <w:left w:val="single" w:color="auto" w:sz="4" w:space="0"/>
              <w:bottom w:val="single" w:color="auto" w:sz="4" w:space="0"/>
              <w:right w:val="single" w:color="auto" w:sz="4" w:space="0"/>
            </w:tcBorders>
            <w:vAlign w:val="center"/>
          </w:tcPr>
          <w:p w14:paraId="60BA17A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5E2A541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18E8917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440" w:type="dxa"/>
            <w:vAlign w:val="center"/>
          </w:tcPr>
          <w:p w14:paraId="2D21EC1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bCs/>
                <w:sz w:val="20"/>
                <w:szCs w:val="20"/>
              </w:rPr>
              <w:t>100%</w:t>
            </w:r>
          </w:p>
        </w:tc>
        <w:tc>
          <w:tcPr>
            <w:tcW w:w="1530" w:type="dxa"/>
          </w:tcPr>
          <w:p w14:paraId="096AB7A6">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5E1422DC">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r>
      <w:tr w14:paraId="145D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left w:val="single" w:color="auto" w:sz="4" w:space="0"/>
              <w:right w:val="single" w:color="auto" w:sz="4" w:space="0"/>
            </w:tcBorders>
            <w:vAlign w:val="center"/>
          </w:tcPr>
          <w:p w14:paraId="636CAA9A">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5AD9BBD9">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tcPr>
          <w:p w14:paraId="6E084EDE">
            <w:pPr>
              <w:numPr>
                <w:ilvl w:val="0"/>
                <w:numId w:val="17"/>
              </w:num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Clinic </w:t>
            </w:r>
          </w:p>
        </w:tc>
        <w:tc>
          <w:tcPr>
            <w:tcW w:w="1710" w:type="dxa"/>
            <w:tcBorders>
              <w:top w:val="single" w:color="auto" w:sz="4" w:space="0"/>
              <w:left w:val="single" w:color="auto" w:sz="4" w:space="0"/>
              <w:bottom w:val="single" w:color="auto" w:sz="4" w:space="0"/>
              <w:right w:val="single" w:color="auto" w:sz="4" w:space="0"/>
            </w:tcBorders>
            <w:vAlign w:val="center"/>
          </w:tcPr>
          <w:p w14:paraId="4FC68F1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0F6C235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4293E2F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440" w:type="dxa"/>
            <w:vAlign w:val="center"/>
          </w:tcPr>
          <w:p w14:paraId="3E7635C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rPr>
              <w:t>100%</w:t>
            </w:r>
          </w:p>
        </w:tc>
        <w:tc>
          <w:tcPr>
            <w:tcW w:w="1530" w:type="dxa"/>
          </w:tcPr>
          <w:p w14:paraId="57FAFC25">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52A80F40">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r>
      <w:tr w14:paraId="77D7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25" w:type="dxa"/>
            <w:vMerge w:val="continue"/>
            <w:tcBorders>
              <w:left w:val="single" w:color="auto" w:sz="4" w:space="0"/>
              <w:right w:val="single" w:color="auto" w:sz="4" w:space="0"/>
            </w:tcBorders>
            <w:vAlign w:val="center"/>
          </w:tcPr>
          <w:p w14:paraId="73909AA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0D8A831E">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tcPr>
          <w:p w14:paraId="15D4C615">
            <w:pPr>
              <w:numPr>
                <w:ilvl w:val="0"/>
                <w:numId w:val="17"/>
              </w:num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Health Center</w:t>
            </w:r>
          </w:p>
        </w:tc>
        <w:tc>
          <w:tcPr>
            <w:tcW w:w="1710" w:type="dxa"/>
            <w:tcBorders>
              <w:top w:val="single" w:color="auto" w:sz="4" w:space="0"/>
              <w:left w:val="single" w:color="auto" w:sz="4" w:space="0"/>
              <w:bottom w:val="single" w:color="auto" w:sz="4" w:space="0"/>
              <w:right w:val="single" w:color="auto" w:sz="4" w:space="0"/>
            </w:tcBorders>
            <w:vAlign w:val="center"/>
          </w:tcPr>
          <w:p w14:paraId="1EBFBF3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3D18560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69AA618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440" w:type="dxa"/>
            <w:vAlign w:val="center"/>
          </w:tcPr>
          <w:p w14:paraId="486D51D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bCs/>
                <w:sz w:val="20"/>
                <w:szCs w:val="20"/>
              </w:rPr>
              <w:t>100%</w:t>
            </w:r>
          </w:p>
        </w:tc>
        <w:tc>
          <w:tcPr>
            <w:tcW w:w="1530" w:type="dxa"/>
          </w:tcPr>
          <w:p w14:paraId="24E96300">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2887ABD4">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r>
      <w:tr w14:paraId="36DD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625" w:type="dxa"/>
            <w:vMerge w:val="continue"/>
            <w:tcBorders>
              <w:left w:val="single" w:color="auto" w:sz="4" w:space="0"/>
              <w:right w:val="single" w:color="auto" w:sz="4" w:space="0"/>
            </w:tcBorders>
            <w:vAlign w:val="center"/>
          </w:tcPr>
          <w:p w14:paraId="252EEAB2">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13EE83B6">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tcPr>
          <w:p w14:paraId="403F96D0">
            <w:pPr>
              <w:numPr>
                <w:ilvl w:val="0"/>
                <w:numId w:val="17"/>
              </w:num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Polyclinic</w:t>
            </w:r>
          </w:p>
        </w:tc>
        <w:tc>
          <w:tcPr>
            <w:tcW w:w="1710" w:type="dxa"/>
            <w:tcBorders>
              <w:top w:val="single" w:color="auto" w:sz="4" w:space="0"/>
              <w:left w:val="single" w:color="auto" w:sz="4" w:space="0"/>
              <w:bottom w:val="single" w:color="auto" w:sz="4" w:space="0"/>
              <w:right w:val="single" w:color="auto" w:sz="4" w:space="0"/>
            </w:tcBorders>
            <w:vAlign w:val="center"/>
          </w:tcPr>
          <w:p w14:paraId="62897E28">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Not Applicable</w:t>
            </w:r>
          </w:p>
        </w:tc>
        <w:tc>
          <w:tcPr>
            <w:tcW w:w="1620" w:type="dxa"/>
            <w:tcBorders>
              <w:top w:val="single" w:color="auto" w:sz="4" w:space="0"/>
              <w:left w:val="single" w:color="auto" w:sz="4" w:space="0"/>
              <w:bottom w:val="single" w:color="auto" w:sz="4" w:space="0"/>
              <w:right w:val="single" w:color="auto" w:sz="4" w:space="0"/>
            </w:tcBorders>
            <w:vAlign w:val="center"/>
          </w:tcPr>
          <w:p w14:paraId="4FB9A12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Not Applicable</w:t>
            </w:r>
          </w:p>
        </w:tc>
        <w:tc>
          <w:tcPr>
            <w:tcW w:w="1620" w:type="dxa"/>
            <w:tcBorders>
              <w:top w:val="single" w:color="auto" w:sz="4" w:space="0"/>
              <w:left w:val="single" w:color="auto" w:sz="4" w:space="0"/>
              <w:bottom w:val="single" w:color="auto" w:sz="4" w:space="0"/>
              <w:right w:val="single" w:color="auto" w:sz="4" w:space="0"/>
            </w:tcBorders>
            <w:vAlign w:val="center"/>
          </w:tcPr>
          <w:p w14:paraId="1F67CF6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Not Applicable</w:t>
            </w:r>
          </w:p>
        </w:tc>
        <w:tc>
          <w:tcPr>
            <w:tcW w:w="1440" w:type="dxa"/>
            <w:vAlign w:val="center"/>
          </w:tcPr>
          <w:p w14:paraId="6C8C566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Not Applicable</w:t>
            </w:r>
          </w:p>
        </w:tc>
        <w:tc>
          <w:tcPr>
            <w:tcW w:w="1530" w:type="dxa"/>
          </w:tcPr>
          <w:p w14:paraId="5EDC22F5">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3E35F3FC">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r>
      <w:tr w14:paraId="4C01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625" w:type="dxa"/>
            <w:vMerge w:val="continue"/>
            <w:tcBorders>
              <w:left w:val="single" w:color="auto" w:sz="4" w:space="0"/>
              <w:bottom w:val="single" w:color="auto" w:sz="4" w:space="0"/>
              <w:right w:val="single" w:color="auto" w:sz="4" w:space="0"/>
            </w:tcBorders>
            <w:vAlign w:val="center"/>
          </w:tcPr>
          <w:p w14:paraId="7941DF20">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vAlign w:val="center"/>
          </w:tcPr>
          <w:p w14:paraId="6F19CA8E">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bottom w:val="single" w:color="auto" w:sz="4" w:space="0"/>
              <w:right w:val="single" w:color="auto" w:sz="4" w:space="0"/>
            </w:tcBorders>
          </w:tcPr>
          <w:p w14:paraId="4B7C9435">
            <w:pPr>
              <w:pStyle w:val="24"/>
              <w:numPr>
                <w:ilvl w:val="0"/>
                <w:numId w:val="15"/>
              </w:numPr>
              <w:rPr>
                <w:rFonts w:ascii="Times New Roman" w:hAnsi="Times New Roman" w:cs="Times New Roman"/>
                <w:sz w:val="20"/>
                <w:szCs w:val="20"/>
              </w:rPr>
            </w:pPr>
            <w:r>
              <w:rPr>
                <w:rFonts w:ascii="Times New Roman" w:hAnsi="Times New Roman" w:eastAsia="Times New Roman" w:cs="Times New Roman"/>
                <w:sz w:val="20"/>
                <w:szCs w:val="20"/>
                <w:lang w:val="en-GB"/>
              </w:rPr>
              <w:t>Hospital</w:t>
            </w:r>
          </w:p>
        </w:tc>
        <w:tc>
          <w:tcPr>
            <w:tcW w:w="1710" w:type="dxa"/>
            <w:tcBorders>
              <w:top w:val="single" w:color="auto" w:sz="4" w:space="0"/>
              <w:left w:val="single" w:color="auto" w:sz="4" w:space="0"/>
              <w:bottom w:val="single" w:color="auto" w:sz="4" w:space="0"/>
              <w:right w:val="single" w:color="auto" w:sz="4" w:space="0"/>
            </w:tcBorders>
            <w:vAlign w:val="center"/>
          </w:tcPr>
          <w:p w14:paraId="054EA16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3491BDD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vAlign w:val="center"/>
          </w:tcPr>
          <w:p w14:paraId="562C8C0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440" w:type="dxa"/>
            <w:vAlign w:val="center"/>
          </w:tcPr>
          <w:p w14:paraId="0605388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bCs/>
                <w:sz w:val="20"/>
                <w:szCs w:val="20"/>
              </w:rPr>
              <w:t>100%</w:t>
            </w:r>
          </w:p>
        </w:tc>
        <w:tc>
          <w:tcPr>
            <w:tcW w:w="1530" w:type="dxa"/>
          </w:tcPr>
          <w:p w14:paraId="11570F54">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c>
          <w:tcPr>
            <w:tcW w:w="1620" w:type="dxa"/>
          </w:tcPr>
          <w:p w14:paraId="53F3D365">
            <w:pPr>
              <w:jc w:val="center"/>
              <w:rPr>
                <w:rFonts w:ascii="Times New Roman" w:hAnsi="Times New Roman" w:cs="Times New Roman"/>
                <w:sz w:val="20"/>
                <w:szCs w:val="20"/>
              </w:rPr>
            </w:pPr>
            <w:r>
              <w:rPr>
                <w:rFonts w:ascii="Times New Roman" w:hAnsi="Times New Roman" w:eastAsia="Calibri" w:cs="Times New Roman"/>
                <w:bCs/>
                <w:sz w:val="20"/>
                <w:szCs w:val="20"/>
              </w:rPr>
              <w:t>100%</w:t>
            </w:r>
          </w:p>
        </w:tc>
      </w:tr>
      <w:tr w14:paraId="6BE5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restart"/>
            <w:tcBorders>
              <w:top w:val="single" w:color="auto" w:sz="4" w:space="0"/>
              <w:left w:val="single" w:color="auto" w:sz="4" w:space="0"/>
              <w:right w:val="single" w:color="auto" w:sz="4" w:space="0"/>
            </w:tcBorders>
            <w:shd w:val="clear" w:color="auto" w:fill="F2F2F2"/>
            <w:vAlign w:val="center"/>
          </w:tcPr>
          <w:p w14:paraId="767B239C">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shd w:val="clear" w:color="auto" w:fill="F2F2F2"/>
            <w:vAlign w:val="center"/>
          </w:tcPr>
          <w:p w14:paraId="6D120930">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Prevalence of malnutrition (institutional)</w:t>
            </w:r>
          </w:p>
          <w:p w14:paraId="67F75778">
            <w:pPr>
              <w:spacing w:after="0" w:line="240" w:lineRule="auto"/>
              <w:rPr>
                <w:rFonts w:ascii="Times New Roman" w:hAnsi="Times New Roman" w:eastAsia="Times New Roman" w:cs="Times New Roman"/>
                <w:b/>
                <w:sz w:val="20"/>
                <w:szCs w:val="20"/>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16E37921">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Wasting</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2FAA9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3E22C258">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56867D4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0081592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shd w:val="clear" w:color="auto" w:fill="F2F2F2"/>
          </w:tcPr>
          <w:p w14:paraId="7D44E0E9">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vAlign w:val="center"/>
          </w:tcPr>
          <w:p w14:paraId="5675450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76A0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continue"/>
            <w:tcBorders>
              <w:left w:val="single" w:color="auto" w:sz="4" w:space="0"/>
              <w:right w:val="single" w:color="auto" w:sz="4" w:space="0"/>
            </w:tcBorders>
            <w:shd w:val="clear" w:color="auto" w:fill="F2F2F2"/>
            <w:vAlign w:val="center"/>
          </w:tcPr>
          <w:p w14:paraId="4D5ECEBC">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shd w:val="clear" w:color="auto" w:fill="F2F2F2"/>
            <w:vAlign w:val="center"/>
          </w:tcPr>
          <w:p w14:paraId="492DE73A">
            <w:pPr>
              <w:spacing w:after="0" w:line="240" w:lineRule="auto"/>
              <w:rPr>
                <w:rFonts w:ascii="Times New Roman" w:hAnsi="Times New Roman" w:eastAsia="Times New Roman" w:cs="Times New Roman"/>
                <w:b/>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010C6940">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•Underweight</w:t>
            </w:r>
          </w:p>
        </w:tc>
        <w:tc>
          <w:tcPr>
            <w:tcW w:w="1710" w:type="dxa"/>
            <w:tcBorders>
              <w:top w:val="single" w:color="auto" w:sz="4" w:space="0"/>
              <w:left w:val="single" w:color="auto" w:sz="4" w:space="0"/>
              <w:bottom w:val="single" w:color="auto" w:sz="4" w:space="0"/>
              <w:right w:val="single" w:color="auto" w:sz="4" w:space="0"/>
            </w:tcBorders>
            <w:shd w:val="clear" w:color="auto" w:fill="F2F2F2"/>
          </w:tcPr>
          <w:p w14:paraId="542E732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20" w:type="dxa"/>
            <w:tcBorders>
              <w:top w:val="single" w:color="auto" w:sz="4" w:space="0"/>
              <w:left w:val="single" w:color="auto" w:sz="4" w:space="0"/>
              <w:bottom w:val="single" w:color="auto" w:sz="4" w:space="0"/>
              <w:right w:val="single" w:color="auto" w:sz="4" w:space="0"/>
            </w:tcBorders>
            <w:shd w:val="clear" w:color="auto" w:fill="F2F2F2"/>
          </w:tcPr>
          <w:p w14:paraId="15053E4C">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43</w:t>
            </w:r>
          </w:p>
        </w:tc>
        <w:tc>
          <w:tcPr>
            <w:tcW w:w="1620" w:type="dxa"/>
            <w:tcBorders>
              <w:top w:val="single" w:color="auto" w:sz="4" w:space="0"/>
              <w:left w:val="single" w:color="auto" w:sz="4" w:space="0"/>
              <w:bottom w:val="single" w:color="auto" w:sz="4" w:space="0"/>
              <w:right w:val="single" w:color="auto" w:sz="4" w:space="0"/>
            </w:tcBorders>
            <w:shd w:val="clear" w:color="auto" w:fill="F2F2F2"/>
          </w:tcPr>
          <w:p w14:paraId="0533AA5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56</w:t>
            </w:r>
          </w:p>
        </w:tc>
        <w:tc>
          <w:tcPr>
            <w:tcW w:w="1440" w:type="dxa"/>
            <w:shd w:val="clear" w:color="auto" w:fill="D8D8D8" w:themeFill="background1" w:themeFillShade="D9"/>
          </w:tcPr>
          <w:p w14:paraId="2A1AEFC6">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5</w:t>
            </w:r>
            <w:r>
              <w:rPr>
                <w:rFonts w:ascii="Times New Roman" w:hAnsi="Times New Roman" w:eastAsia="Times New Roman" w:cs="Times New Roman"/>
                <w:sz w:val="20"/>
                <w:szCs w:val="20"/>
              </w:rPr>
              <w:t>.8</w:t>
            </w:r>
          </w:p>
        </w:tc>
        <w:tc>
          <w:tcPr>
            <w:tcW w:w="1530" w:type="dxa"/>
            <w:shd w:val="clear" w:color="auto" w:fill="F2F2F2"/>
          </w:tcPr>
          <w:p w14:paraId="666D57CB">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vAlign w:val="center"/>
          </w:tcPr>
          <w:p w14:paraId="0BCDF0E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6</w:t>
            </w:r>
          </w:p>
        </w:tc>
      </w:tr>
      <w:tr w14:paraId="0244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continue"/>
            <w:tcBorders>
              <w:left w:val="single" w:color="auto" w:sz="4" w:space="0"/>
              <w:right w:val="single" w:color="auto" w:sz="4" w:space="0"/>
            </w:tcBorders>
            <w:shd w:val="clear" w:color="auto" w:fill="F2F2F2"/>
            <w:vAlign w:val="center"/>
          </w:tcPr>
          <w:p w14:paraId="7F28CCCF">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shd w:val="clear" w:color="auto" w:fill="F2F2F2"/>
            <w:vAlign w:val="center"/>
          </w:tcPr>
          <w:p w14:paraId="5B461ACE">
            <w:pPr>
              <w:spacing w:after="0" w:line="240" w:lineRule="auto"/>
              <w:rPr>
                <w:rFonts w:ascii="Times New Roman" w:hAnsi="Times New Roman" w:eastAsia="Times New Roman" w:cs="Times New Roman"/>
                <w:b/>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2B7F498C">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•Stunting</w:t>
            </w:r>
          </w:p>
        </w:tc>
        <w:tc>
          <w:tcPr>
            <w:tcW w:w="1710" w:type="dxa"/>
            <w:tcBorders>
              <w:top w:val="single" w:color="auto" w:sz="4" w:space="0"/>
              <w:left w:val="single" w:color="auto" w:sz="4" w:space="0"/>
              <w:bottom w:val="single" w:color="auto" w:sz="4" w:space="0"/>
              <w:right w:val="single" w:color="auto" w:sz="4" w:space="0"/>
            </w:tcBorders>
            <w:shd w:val="clear" w:color="auto" w:fill="F2F2F2"/>
          </w:tcPr>
          <w:p w14:paraId="4D354B3D">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620" w:type="dxa"/>
            <w:tcBorders>
              <w:top w:val="single" w:color="auto" w:sz="4" w:space="0"/>
              <w:left w:val="single" w:color="auto" w:sz="4" w:space="0"/>
              <w:bottom w:val="single" w:color="auto" w:sz="4" w:space="0"/>
              <w:right w:val="single" w:color="auto" w:sz="4" w:space="0"/>
            </w:tcBorders>
            <w:shd w:val="clear" w:color="auto" w:fill="F2F2F2"/>
          </w:tcPr>
          <w:p w14:paraId="109432A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620" w:type="dxa"/>
            <w:tcBorders>
              <w:top w:val="single" w:color="auto" w:sz="4" w:space="0"/>
              <w:left w:val="single" w:color="auto" w:sz="4" w:space="0"/>
              <w:bottom w:val="single" w:color="auto" w:sz="4" w:space="0"/>
              <w:right w:val="single" w:color="auto" w:sz="4" w:space="0"/>
            </w:tcBorders>
            <w:shd w:val="clear" w:color="auto" w:fill="F2F2F2"/>
          </w:tcPr>
          <w:p w14:paraId="20684C8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1440" w:type="dxa"/>
            <w:shd w:val="clear" w:color="auto" w:fill="D8D8D8" w:themeFill="background1" w:themeFillShade="D9"/>
          </w:tcPr>
          <w:p w14:paraId="5C4C5CF6">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4.91</w:t>
            </w:r>
          </w:p>
        </w:tc>
        <w:tc>
          <w:tcPr>
            <w:tcW w:w="1530" w:type="dxa"/>
            <w:shd w:val="clear" w:color="auto" w:fill="F2F2F2"/>
          </w:tcPr>
          <w:p w14:paraId="7897309E">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vAlign w:val="center"/>
          </w:tcPr>
          <w:p w14:paraId="5B3102C6">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7D88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continue"/>
            <w:tcBorders>
              <w:left w:val="single" w:color="auto" w:sz="4" w:space="0"/>
              <w:bottom w:val="single" w:color="auto" w:sz="4" w:space="0"/>
              <w:right w:val="single" w:color="auto" w:sz="4" w:space="0"/>
            </w:tcBorders>
            <w:shd w:val="clear" w:color="auto" w:fill="F2F2F2"/>
            <w:vAlign w:val="center"/>
          </w:tcPr>
          <w:p w14:paraId="13B047CE">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shd w:val="clear" w:color="auto" w:fill="F2F2F2"/>
            <w:vAlign w:val="center"/>
          </w:tcPr>
          <w:p w14:paraId="6CBF60E8">
            <w:pPr>
              <w:spacing w:after="0" w:line="240" w:lineRule="auto"/>
              <w:rPr>
                <w:rFonts w:ascii="Times New Roman" w:hAnsi="Times New Roman" w:eastAsia="Times New Roman" w:cs="Times New Roman"/>
                <w:b/>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04F5A889">
            <w:pPr>
              <w:rPr>
                <w:rFonts w:ascii="Times New Roman" w:hAnsi="Times New Roman" w:cs="Times New Roman"/>
                <w:sz w:val="20"/>
                <w:szCs w:val="20"/>
              </w:rPr>
            </w:pPr>
            <w:r>
              <w:rPr>
                <w:rFonts w:ascii="Times New Roman" w:hAnsi="Times New Roman" w:eastAsia="Times New Roman" w:cs="Times New Roman"/>
                <w:b/>
                <w:sz w:val="20"/>
                <w:szCs w:val="20"/>
                <w:lang w:val="en-GB"/>
              </w:rPr>
              <w:t>•Overweight</w:t>
            </w:r>
          </w:p>
        </w:tc>
        <w:tc>
          <w:tcPr>
            <w:tcW w:w="1710" w:type="dxa"/>
            <w:tcBorders>
              <w:top w:val="single" w:color="auto" w:sz="4" w:space="0"/>
              <w:left w:val="single" w:color="auto" w:sz="4" w:space="0"/>
              <w:bottom w:val="single" w:color="auto" w:sz="4" w:space="0"/>
              <w:right w:val="single" w:color="auto" w:sz="4" w:space="0"/>
            </w:tcBorders>
            <w:shd w:val="clear" w:color="auto" w:fill="F2F2F2"/>
          </w:tcPr>
          <w:p w14:paraId="5F4F33CF">
            <w:pPr>
              <w:jc w:val="center"/>
              <w:rPr>
                <w:rFonts w:ascii="Times New Roman" w:hAnsi="Times New Roman" w:cs="Times New Roman"/>
                <w:sz w:val="20"/>
                <w:szCs w:val="20"/>
              </w:rPr>
            </w:pPr>
            <w:r>
              <w:rPr>
                <w:rFonts w:ascii="Times New Roman" w:hAnsi="Times New Roman" w:eastAsia="Times New Roman"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tcPr>
          <w:p w14:paraId="7C837432">
            <w:pPr>
              <w:jc w:val="center"/>
              <w:rPr>
                <w:rFonts w:ascii="Times New Roman" w:hAnsi="Times New Roman" w:cs="Times New Roman"/>
                <w:sz w:val="20"/>
                <w:szCs w:val="20"/>
              </w:rPr>
            </w:pPr>
            <w:r>
              <w:rPr>
                <w:rFonts w:ascii="Times New Roman" w:hAnsi="Times New Roman" w:eastAsia="Times New Roman"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tcPr>
          <w:p w14:paraId="5A0DA6DC">
            <w:pPr>
              <w:jc w:val="center"/>
              <w:rPr>
                <w:rFonts w:ascii="Times New Roman" w:hAnsi="Times New Roman" w:cs="Times New Roman"/>
                <w:sz w:val="20"/>
                <w:szCs w:val="20"/>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58C73A22">
            <w:pPr>
              <w:jc w:val="center"/>
              <w:rPr>
                <w:rFonts w:ascii="Times New Roman" w:hAnsi="Times New Roman" w:cs="Times New Roman"/>
                <w:sz w:val="20"/>
                <w:szCs w:val="20"/>
              </w:rPr>
            </w:pPr>
            <w:r>
              <w:rPr>
                <w:rFonts w:ascii="Times New Roman" w:hAnsi="Times New Roman" w:eastAsia="Times New Roman" w:cs="Times New Roman"/>
                <w:sz w:val="20"/>
                <w:szCs w:val="20"/>
              </w:rPr>
              <w:t>0</w:t>
            </w:r>
          </w:p>
        </w:tc>
        <w:tc>
          <w:tcPr>
            <w:tcW w:w="1530" w:type="dxa"/>
            <w:shd w:val="clear" w:color="auto" w:fill="F2F2F2"/>
          </w:tcPr>
          <w:p w14:paraId="6E0E1FFD">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vAlign w:val="center"/>
          </w:tcPr>
          <w:p w14:paraId="2EEE0D7E">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623F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F2F2F2"/>
            <w:vAlign w:val="center"/>
          </w:tcPr>
          <w:p w14:paraId="77B7B3A7">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vAlign w:val="center"/>
          </w:tcPr>
          <w:p w14:paraId="5D73F97D">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rPr>
              <w:t>Maternal mortality ratio (Institutional)</w:t>
            </w: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453718EF">
            <w:pPr>
              <w:spacing w:after="0" w:line="240" w:lineRule="auto"/>
              <w:jc w:val="center"/>
              <w:rPr>
                <w:rFonts w:ascii="Times New Roman" w:hAnsi="Times New Roman" w:cs="Times New Roman"/>
                <w:sz w:val="20"/>
                <w:szCs w:val="20"/>
                <w:lang w:eastAsia="zh-CN" w:bidi="ar"/>
              </w:rPr>
            </w:pP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6DC47192">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47.2%</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2445EBB2">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296FD6AB">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428B312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57.6%</w:t>
            </w:r>
          </w:p>
        </w:tc>
        <w:tc>
          <w:tcPr>
            <w:tcW w:w="1530" w:type="dxa"/>
            <w:shd w:val="clear" w:color="auto" w:fill="F2F2F2"/>
          </w:tcPr>
          <w:p w14:paraId="70E915CE">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tcPr>
          <w:p w14:paraId="38F676F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0B3C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restart"/>
            <w:tcBorders>
              <w:top w:val="single" w:color="auto" w:sz="4" w:space="0"/>
              <w:left w:val="single" w:color="auto" w:sz="4" w:space="0"/>
              <w:right w:val="single" w:color="auto" w:sz="4" w:space="0"/>
            </w:tcBorders>
            <w:shd w:val="clear" w:color="auto" w:fill="F2F2F2"/>
            <w:vAlign w:val="center"/>
          </w:tcPr>
          <w:p w14:paraId="261A29B3">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shd w:val="clear" w:color="auto" w:fill="F2F2F2"/>
            <w:vAlign w:val="center"/>
          </w:tcPr>
          <w:p w14:paraId="54BE770B">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Malaria case fatality (Institutional)</w:t>
            </w:r>
          </w:p>
        </w:tc>
        <w:tc>
          <w:tcPr>
            <w:tcW w:w="2430" w:type="dxa"/>
            <w:tcBorders>
              <w:top w:val="single" w:color="auto" w:sz="4" w:space="0"/>
              <w:left w:val="single" w:color="auto" w:sz="4" w:space="0"/>
              <w:right w:val="single" w:color="auto" w:sz="4" w:space="0"/>
            </w:tcBorders>
            <w:shd w:val="clear" w:color="auto" w:fill="F2F2F2"/>
          </w:tcPr>
          <w:p w14:paraId="29E9B19F">
            <w:pPr>
              <w:numPr>
                <w:ilvl w:val="0"/>
                <w:numId w:val="18"/>
              </w:num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District total</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054FE553">
            <w:pPr>
              <w:spacing w:after="0" w:line="240" w:lineRule="auto"/>
              <w:jc w:val="center"/>
              <w:rPr>
                <w:rFonts w:ascii="Times New Roman" w:hAnsi="Times New Roman" w:cs="Times New Roman"/>
                <w:b/>
                <w:sz w:val="20"/>
                <w:szCs w:val="20"/>
                <w:lang w:eastAsia="zh-CN" w:bidi="ar"/>
              </w:rPr>
            </w:pPr>
            <w:r>
              <w:rPr>
                <w:rFonts w:ascii="Times New Roman" w:hAnsi="Times New Roman" w:cs="Times New Roman"/>
                <w:b/>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651D5C58">
            <w:pPr>
              <w:spacing w:after="0" w:line="240" w:lineRule="auto"/>
              <w:jc w:val="center"/>
              <w:rPr>
                <w:rFonts w:ascii="Times New Roman" w:hAnsi="Times New Roman" w:cs="Times New Roman"/>
                <w:b/>
                <w:sz w:val="20"/>
                <w:szCs w:val="20"/>
                <w:lang w:eastAsia="zh-CN" w:bidi="ar"/>
              </w:rPr>
            </w:pPr>
            <w:r>
              <w:rPr>
                <w:rFonts w:ascii="Times New Roman" w:hAnsi="Times New Roman" w:cs="Times New Roman"/>
                <w:b/>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326C88D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sz w:val="20"/>
                <w:szCs w:val="20"/>
                <w:lang w:val="en-GB"/>
              </w:rPr>
              <w:t>0</w:t>
            </w:r>
          </w:p>
        </w:tc>
        <w:tc>
          <w:tcPr>
            <w:tcW w:w="1440" w:type="dxa"/>
            <w:shd w:val="clear" w:color="auto" w:fill="D8D8D8" w:themeFill="background1" w:themeFillShade="D9"/>
            <w:vAlign w:val="center"/>
          </w:tcPr>
          <w:p w14:paraId="08CA7707">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0</w:t>
            </w:r>
          </w:p>
        </w:tc>
        <w:tc>
          <w:tcPr>
            <w:tcW w:w="1530" w:type="dxa"/>
            <w:shd w:val="clear" w:color="auto" w:fill="F2F2F2"/>
          </w:tcPr>
          <w:p w14:paraId="5A44EFA1">
            <w:pPr>
              <w:jc w:val="center"/>
              <w:rPr>
                <w:rFonts w:ascii="Times New Roman" w:hAnsi="Times New Roman" w:cs="Times New Roman"/>
                <w:b/>
                <w:sz w:val="20"/>
                <w:szCs w:val="20"/>
              </w:rPr>
            </w:pPr>
            <w:r>
              <w:rPr>
                <w:rFonts w:ascii="Times New Roman" w:hAnsi="Times New Roman" w:eastAsia="Calibri" w:cs="Times New Roman"/>
                <w:b/>
                <w:bCs/>
                <w:sz w:val="20"/>
                <w:szCs w:val="20"/>
              </w:rPr>
              <w:t>0</w:t>
            </w:r>
          </w:p>
        </w:tc>
        <w:tc>
          <w:tcPr>
            <w:tcW w:w="1620" w:type="dxa"/>
            <w:shd w:val="clear" w:color="auto" w:fill="F2F2F2"/>
          </w:tcPr>
          <w:p w14:paraId="21A9D426">
            <w:pPr>
              <w:jc w:val="center"/>
              <w:rPr>
                <w:rFonts w:ascii="Times New Roman" w:hAnsi="Times New Roman" w:cs="Times New Roman"/>
                <w:b/>
                <w:sz w:val="20"/>
                <w:szCs w:val="20"/>
              </w:rPr>
            </w:pPr>
            <w:r>
              <w:rPr>
                <w:rFonts w:ascii="Times New Roman" w:hAnsi="Times New Roman" w:eastAsia="Calibri" w:cs="Times New Roman"/>
                <w:b/>
                <w:bCs/>
                <w:sz w:val="20"/>
                <w:szCs w:val="20"/>
              </w:rPr>
              <w:t>0</w:t>
            </w:r>
          </w:p>
        </w:tc>
      </w:tr>
      <w:tr w14:paraId="5827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continue"/>
            <w:tcBorders>
              <w:left w:val="single" w:color="auto" w:sz="4" w:space="0"/>
              <w:right w:val="single" w:color="auto" w:sz="4" w:space="0"/>
            </w:tcBorders>
            <w:shd w:val="clear" w:color="auto" w:fill="F2F2F2"/>
            <w:vAlign w:val="center"/>
          </w:tcPr>
          <w:p w14:paraId="29716BE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shd w:val="clear" w:color="auto" w:fill="F2F2F2"/>
            <w:vAlign w:val="center"/>
          </w:tcPr>
          <w:p w14:paraId="7F4460B0">
            <w:pPr>
              <w:spacing w:after="0" w:line="240" w:lineRule="auto"/>
              <w:rPr>
                <w:rFonts w:ascii="Times New Roman" w:hAnsi="Times New Roman" w:eastAsia="Times New Roman" w:cs="Times New Roman"/>
                <w:b/>
                <w:sz w:val="20"/>
                <w:szCs w:val="20"/>
              </w:rPr>
            </w:pPr>
          </w:p>
        </w:tc>
        <w:tc>
          <w:tcPr>
            <w:tcW w:w="2430" w:type="dxa"/>
            <w:tcBorders>
              <w:left w:val="single" w:color="auto" w:sz="4" w:space="0"/>
              <w:right w:val="single" w:color="auto" w:sz="4" w:space="0"/>
            </w:tcBorders>
            <w:shd w:val="clear" w:color="auto" w:fill="F2F2F2"/>
          </w:tcPr>
          <w:p w14:paraId="7D3E4ADA">
            <w:pPr>
              <w:numPr>
                <w:ilvl w:val="0"/>
                <w:numId w:val="18"/>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Under five years</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59CA8468">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49466352">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2C5D1CF4">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0B2C8028">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30" w:type="dxa"/>
            <w:shd w:val="clear" w:color="auto" w:fill="F2F2F2"/>
          </w:tcPr>
          <w:p w14:paraId="453D24E5">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tcPr>
          <w:p w14:paraId="55BD3F08">
            <w:pPr>
              <w:jc w:val="center"/>
              <w:rPr>
                <w:rFonts w:ascii="Times New Roman" w:hAnsi="Times New Roman" w:cs="Times New Roman"/>
                <w:sz w:val="20"/>
                <w:szCs w:val="20"/>
              </w:rPr>
            </w:pPr>
            <w:r>
              <w:rPr>
                <w:rFonts w:ascii="Times New Roman" w:hAnsi="Times New Roman" w:eastAsia="Calibri" w:cs="Times New Roman"/>
                <w:bCs/>
                <w:sz w:val="20"/>
                <w:szCs w:val="20"/>
              </w:rPr>
              <w:t>0</w:t>
            </w:r>
          </w:p>
        </w:tc>
      </w:tr>
      <w:tr w14:paraId="1F22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continue"/>
            <w:tcBorders>
              <w:left w:val="single" w:color="auto" w:sz="4" w:space="0"/>
              <w:bottom w:val="single" w:color="auto" w:sz="4" w:space="0"/>
              <w:right w:val="single" w:color="auto" w:sz="4" w:space="0"/>
            </w:tcBorders>
            <w:shd w:val="clear" w:color="auto" w:fill="F2F2F2"/>
            <w:vAlign w:val="center"/>
          </w:tcPr>
          <w:p w14:paraId="0DEBF229">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shd w:val="clear" w:color="auto" w:fill="F2F2F2"/>
            <w:vAlign w:val="center"/>
          </w:tcPr>
          <w:p w14:paraId="2FB5B6C2">
            <w:pPr>
              <w:spacing w:after="0" w:line="240" w:lineRule="auto"/>
              <w:rPr>
                <w:rFonts w:ascii="Times New Roman" w:hAnsi="Times New Roman" w:eastAsia="Times New Roman" w:cs="Times New Roman"/>
                <w:b/>
                <w:sz w:val="20"/>
                <w:szCs w:val="20"/>
              </w:rPr>
            </w:pPr>
          </w:p>
        </w:tc>
        <w:tc>
          <w:tcPr>
            <w:tcW w:w="2430" w:type="dxa"/>
            <w:tcBorders>
              <w:left w:val="single" w:color="auto" w:sz="4" w:space="0"/>
              <w:bottom w:val="single" w:color="auto" w:sz="4" w:space="0"/>
              <w:right w:val="single" w:color="auto" w:sz="4" w:space="0"/>
            </w:tcBorders>
            <w:shd w:val="clear" w:color="auto" w:fill="F2F2F2"/>
          </w:tcPr>
          <w:p w14:paraId="6930FC3A">
            <w:pPr>
              <w:pStyle w:val="24"/>
              <w:numPr>
                <w:ilvl w:val="0"/>
                <w:numId w:val="18"/>
              </w:numPr>
              <w:rPr>
                <w:rFonts w:ascii="Times New Roman" w:hAnsi="Times New Roman" w:cs="Times New Roman"/>
                <w:sz w:val="20"/>
                <w:szCs w:val="20"/>
              </w:rPr>
            </w:pPr>
            <w:r>
              <w:rPr>
                <w:rFonts w:ascii="Times New Roman" w:hAnsi="Times New Roman" w:eastAsia="Times New Roman" w:cs="Times New Roman"/>
                <w:sz w:val="20"/>
                <w:szCs w:val="20"/>
              </w:rPr>
              <w:t>Women between 15-49</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17492F6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6DACB00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14E9D11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6906287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30" w:type="dxa"/>
            <w:shd w:val="clear" w:color="auto" w:fill="F2F2F2"/>
          </w:tcPr>
          <w:p w14:paraId="2C4ADB95">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shd w:val="clear" w:color="auto" w:fill="F2F2F2"/>
          </w:tcPr>
          <w:p w14:paraId="4ED6BD1E">
            <w:pPr>
              <w:jc w:val="center"/>
              <w:rPr>
                <w:rFonts w:ascii="Times New Roman" w:hAnsi="Times New Roman" w:cs="Times New Roman"/>
                <w:sz w:val="20"/>
                <w:szCs w:val="20"/>
              </w:rPr>
            </w:pPr>
            <w:r>
              <w:rPr>
                <w:rFonts w:ascii="Times New Roman" w:hAnsi="Times New Roman" w:eastAsia="Calibri" w:cs="Times New Roman"/>
                <w:bCs/>
                <w:sz w:val="20"/>
                <w:szCs w:val="20"/>
              </w:rPr>
              <w:t>0</w:t>
            </w:r>
          </w:p>
        </w:tc>
      </w:tr>
      <w:tr w14:paraId="6D05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F2F2F2"/>
            <w:vAlign w:val="center"/>
          </w:tcPr>
          <w:p w14:paraId="7786D75F">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vAlign w:val="center"/>
          </w:tcPr>
          <w:p w14:paraId="0B014CDA">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Proportion of population who have tested positive for covid-19</w:t>
            </w: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4BEE0C0E">
            <w:pPr>
              <w:spacing w:after="0" w:line="240" w:lineRule="auto"/>
              <w:jc w:val="center"/>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06514C2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77E3508D">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66963000">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2ABC56B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30" w:type="dxa"/>
            <w:shd w:val="clear" w:color="auto" w:fill="F2F2F2"/>
          </w:tcPr>
          <w:p w14:paraId="1657F88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rPr>
              <w:t>0%</w:t>
            </w:r>
          </w:p>
        </w:tc>
        <w:tc>
          <w:tcPr>
            <w:tcW w:w="1620" w:type="dxa"/>
            <w:shd w:val="clear" w:color="auto" w:fill="F2F2F2"/>
          </w:tcPr>
          <w:p w14:paraId="47E666E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rPr>
              <w:t>0%</w:t>
            </w:r>
          </w:p>
        </w:tc>
      </w:tr>
      <w:tr w14:paraId="35AC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5" w:type="dxa"/>
            <w:vMerge w:val="restart"/>
            <w:tcBorders>
              <w:top w:val="single" w:color="auto" w:sz="4" w:space="0"/>
              <w:left w:val="single" w:color="auto" w:sz="4" w:space="0"/>
              <w:bottom w:val="single" w:color="auto" w:sz="4" w:space="0"/>
              <w:right w:val="single" w:color="auto" w:sz="4" w:space="0"/>
            </w:tcBorders>
            <w:shd w:val="clear" w:color="auto" w:fill="F2F2F2"/>
            <w:vAlign w:val="center"/>
          </w:tcPr>
          <w:p w14:paraId="0832CBB2">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shd w:val="clear" w:color="auto" w:fill="F2F2F2"/>
            <w:vAlign w:val="center"/>
          </w:tcPr>
          <w:p w14:paraId="1FBD2908">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 xml:space="preserve">Proportion of population with valid NHIS card </w:t>
            </w: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36DBE8AE">
            <w:pPr>
              <w:numPr>
                <w:ilvl w:val="0"/>
                <w:numId w:val="19"/>
              </w:numPr>
              <w:pBdr>
                <w:top w:val="none" w:color="auto" w:sz="0" w:space="0"/>
                <w:left w:val="none" w:color="auto" w:sz="0" w:space="0"/>
                <w:bottom w:val="none" w:color="auto" w:sz="0" w:space="0"/>
                <w:right w:val="none" w:color="auto" w:sz="0" w:space="0"/>
                <w:between w:val="none" w:color="auto" w:sz="0" w:space="0"/>
              </w:pBdr>
              <w:shd w:val="clear" w:color="auto" w:fill="F2F2F2"/>
              <w:spacing w:after="0" w:line="240" w:lineRule="auto"/>
              <w:ind w:hanging="288"/>
              <w:contextualSpacing/>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 xml:space="preserve">Total </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2D7A2DB5">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76%</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43385212">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54%</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62B143CB">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81.61%</w:t>
            </w:r>
          </w:p>
        </w:tc>
        <w:tc>
          <w:tcPr>
            <w:tcW w:w="144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582B8FC">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83.62%</w:t>
            </w:r>
          </w:p>
        </w:tc>
        <w:tc>
          <w:tcPr>
            <w:tcW w:w="1530" w:type="dxa"/>
            <w:tcBorders>
              <w:left w:val="single" w:color="auto" w:sz="4" w:space="0"/>
              <w:right w:val="single" w:color="auto" w:sz="4" w:space="0"/>
            </w:tcBorders>
            <w:shd w:val="clear" w:color="auto" w:fill="F2F2F2"/>
            <w:vAlign w:val="center"/>
          </w:tcPr>
          <w:p w14:paraId="42FF6726">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83.62%</w:t>
            </w:r>
          </w:p>
        </w:tc>
        <w:tc>
          <w:tcPr>
            <w:tcW w:w="1620" w:type="dxa"/>
            <w:tcBorders>
              <w:left w:val="single" w:color="auto" w:sz="4" w:space="0"/>
              <w:right w:val="single" w:color="auto" w:sz="4" w:space="0"/>
            </w:tcBorders>
            <w:shd w:val="clear" w:color="auto" w:fill="F2F2F2"/>
            <w:vAlign w:val="center"/>
          </w:tcPr>
          <w:p w14:paraId="5B250135">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84.32%</w:t>
            </w:r>
          </w:p>
        </w:tc>
      </w:tr>
      <w:tr w14:paraId="7D79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25"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2AD55802">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559E2169">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2E74AD6F">
            <w:pPr>
              <w:numPr>
                <w:ilvl w:val="0"/>
                <w:numId w:val="19"/>
              </w:numPr>
              <w:pBdr>
                <w:top w:val="none" w:color="auto" w:sz="0" w:space="0"/>
                <w:left w:val="none" w:color="auto" w:sz="0" w:space="0"/>
                <w:bottom w:val="none" w:color="auto" w:sz="0" w:space="0"/>
                <w:right w:val="none" w:color="auto" w:sz="0" w:space="0"/>
                <w:between w:val="none" w:color="auto" w:sz="0" w:space="0"/>
              </w:pBdr>
              <w:shd w:val="clear" w:color="auto" w:fill="F2F2F2"/>
              <w:spacing w:after="0" w:line="240" w:lineRule="auto"/>
              <w:ind w:hanging="288"/>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Indigents</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4D2E5191">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12.2%</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04FC0424">
            <w:pPr>
              <w:spacing w:after="0" w:line="240" w:lineRule="auto"/>
              <w:jc w:val="center"/>
              <w:rPr>
                <w:rFonts w:ascii="Times New Roman" w:hAnsi="Times New Roman" w:eastAsia="Times New Roman" w:cs="Times New Roman"/>
                <w:bCs/>
                <w:sz w:val="20"/>
                <w:szCs w:val="20"/>
              </w:rPr>
            </w:pPr>
            <w:r>
              <w:rPr>
                <w:rFonts w:ascii="Times New Roman" w:hAnsi="Times New Roman" w:eastAsia="Calibri" w:cs="Times New Roman"/>
                <w:sz w:val="20"/>
                <w:szCs w:val="20"/>
                <w:lang w:eastAsia="zh-CN" w:bidi="ar"/>
              </w:rPr>
              <w:t>13%</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53379219">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lang w:eastAsia="zh-CN" w:bidi="ar"/>
              </w:rPr>
              <w:t>9.4%</w:t>
            </w:r>
          </w:p>
        </w:tc>
        <w:tc>
          <w:tcPr>
            <w:tcW w:w="144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5ECABB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lang w:eastAsia="zh-CN" w:bidi="ar"/>
              </w:rPr>
              <w:t>9.7%</w:t>
            </w:r>
          </w:p>
        </w:tc>
        <w:tc>
          <w:tcPr>
            <w:tcW w:w="1530" w:type="dxa"/>
            <w:tcBorders>
              <w:left w:val="single" w:color="auto" w:sz="4" w:space="0"/>
              <w:right w:val="single" w:color="auto" w:sz="4" w:space="0"/>
            </w:tcBorders>
            <w:shd w:val="clear" w:color="auto" w:fill="F2F2F2"/>
            <w:vAlign w:val="center"/>
          </w:tcPr>
          <w:p w14:paraId="33835A4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lang w:eastAsia="zh-CN" w:bidi="ar"/>
              </w:rPr>
              <w:t>9.7%</w:t>
            </w:r>
          </w:p>
        </w:tc>
        <w:tc>
          <w:tcPr>
            <w:tcW w:w="1620" w:type="dxa"/>
            <w:tcBorders>
              <w:left w:val="single" w:color="auto" w:sz="4" w:space="0"/>
              <w:right w:val="single" w:color="auto" w:sz="4" w:space="0"/>
            </w:tcBorders>
            <w:shd w:val="clear" w:color="auto" w:fill="F2F2F2"/>
            <w:vAlign w:val="center"/>
          </w:tcPr>
          <w:p w14:paraId="512B196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lang w:eastAsia="zh-CN" w:bidi="ar"/>
              </w:rPr>
              <w:t>9.8%</w:t>
            </w:r>
          </w:p>
        </w:tc>
      </w:tr>
      <w:tr w14:paraId="29DE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25"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3714B38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3038AD8B">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0966835E">
            <w:pPr>
              <w:numPr>
                <w:ilvl w:val="0"/>
                <w:numId w:val="19"/>
              </w:numPr>
              <w:pBdr>
                <w:top w:val="none" w:color="auto" w:sz="0" w:space="0"/>
                <w:left w:val="none" w:color="auto" w:sz="0" w:space="0"/>
                <w:bottom w:val="none" w:color="auto" w:sz="0" w:space="0"/>
                <w:right w:val="none" w:color="auto" w:sz="0" w:space="0"/>
                <w:between w:val="none" w:color="auto" w:sz="0" w:space="0"/>
              </w:pBdr>
              <w:shd w:val="clear" w:color="auto" w:fill="F2F2F2"/>
              <w:spacing w:after="0" w:line="240" w:lineRule="auto"/>
              <w:ind w:hanging="288"/>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Informal</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3CCA66C5">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19.4%</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3BD56131">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21%</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03FE758A">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bCs/>
                <w:sz w:val="20"/>
                <w:szCs w:val="20"/>
              </w:rPr>
              <w:t>31.60%</w:t>
            </w:r>
          </w:p>
        </w:tc>
        <w:tc>
          <w:tcPr>
            <w:tcW w:w="144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3EFCF5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31.60%</w:t>
            </w:r>
          </w:p>
        </w:tc>
        <w:tc>
          <w:tcPr>
            <w:tcW w:w="1530" w:type="dxa"/>
            <w:tcBorders>
              <w:left w:val="single" w:color="auto" w:sz="4" w:space="0"/>
              <w:right w:val="single" w:color="auto" w:sz="4" w:space="0"/>
            </w:tcBorders>
            <w:shd w:val="clear" w:color="auto" w:fill="F2F2F2"/>
            <w:vAlign w:val="center"/>
          </w:tcPr>
          <w:p w14:paraId="31F28D9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31.60%</w:t>
            </w:r>
          </w:p>
        </w:tc>
        <w:tc>
          <w:tcPr>
            <w:tcW w:w="1620" w:type="dxa"/>
            <w:tcBorders>
              <w:left w:val="single" w:color="auto" w:sz="4" w:space="0"/>
              <w:right w:val="single" w:color="auto" w:sz="4" w:space="0"/>
            </w:tcBorders>
            <w:shd w:val="clear" w:color="auto" w:fill="F2F2F2"/>
            <w:vAlign w:val="center"/>
          </w:tcPr>
          <w:p w14:paraId="412E577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31.80%</w:t>
            </w:r>
          </w:p>
        </w:tc>
      </w:tr>
      <w:tr w14:paraId="47AC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25"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4560DE3A">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303A2479">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419601C9">
            <w:pPr>
              <w:numPr>
                <w:ilvl w:val="0"/>
                <w:numId w:val="19"/>
              </w:numPr>
              <w:pBdr>
                <w:top w:val="none" w:color="auto" w:sz="0" w:space="0"/>
                <w:left w:val="none" w:color="auto" w:sz="0" w:space="0"/>
                <w:bottom w:val="none" w:color="auto" w:sz="0" w:space="0"/>
                <w:right w:val="none" w:color="auto" w:sz="0" w:space="0"/>
                <w:between w:val="none" w:color="auto" w:sz="0" w:space="0"/>
              </w:pBdr>
              <w:shd w:val="clear" w:color="auto" w:fill="F2F2F2"/>
              <w:spacing w:after="0" w:line="240" w:lineRule="auto"/>
              <w:ind w:hanging="18"/>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Aged</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32CF4EF7">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17%</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5615367E">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21%</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06D854AC">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bCs/>
                <w:sz w:val="20"/>
                <w:szCs w:val="20"/>
              </w:rPr>
              <w:t>3.69%</w:t>
            </w:r>
          </w:p>
        </w:tc>
        <w:tc>
          <w:tcPr>
            <w:tcW w:w="144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434F63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4.79%</w:t>
            </w:r>
          </w:p>
        </w:tc>
        <w:tc>
          <w:tcPr>
            <w:tcW w:w="1530" w:type="dxa"/>
            <w:tcBorders>
              <w:left w:val="single" w:color="auto" w:sz="4" w:space="0"/>
              <w:right w:val="single" w:color="auto" w:sz="4" w:space="0"/>
            </w:tcBorders>
            <w:shd w:val="clear" w:color="auto" w:fill="F2F2F2"/>
            <w:vAlign w:val="center"/>
          </w:tcPr>
          <w:p w14:paraId="6ED7855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4.79%</w:t>
            </w:r>
          </w:p>
        </w:tc>
        <w:tc>
          <w:tcPr>
            <w:tcW w:w="1620" w:type="dxa"/>
            <w:tcBorders>
              <w:left w:val="single" w:color="auto" w:sz="4" w:space="0"/>
              <w:right w:val="single" w:color="auto" w:sz="4" w:space="0"/>
            </w:tcBorders>
            <w:shd w:val="clear" w:color="auto" w:fill="F2F2F2"/>
            <w:vAlign w:val="center"/>
          </w:tcPr>
          <w:p w14:paraId="5D23F64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4.30%</w:t>
            </w:r>
          </w:p>
        </w:tc>
      </w:tr>
      <w:tr w14:paraId="03E4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25"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30D4B745">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6B87A22A">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4D6505C4">
            <w:pPr>
              <w:numPr>
                <w:ilvl w:val="0"/>
                <w:numId w:val="19"/>
              </w:numPr>
              <w:pBdr>
                <w:top w:val="none" w:color="auto" w:sz="0" w:space="0"/>
                <w:left w:val="none" w:color="auto" w:sz="0" w:space="0"/>
                <w:bottom w:val="none" w:color="auto" w:sz="0" w:space="0"/>
                <w:right w:val="none" w:color="auto" w:sz="0" w:space="0"/>
                <w:between w:val="none" w:color="auto" w:sz="0" w:space="0"/>
              </w:pBdr>
              <w:shd w:val="clear" w:color="auto" w:fill="F2F2F2"/>
              <w:spacing w:after="0" w:line="240" w:lineRule="auto"/>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Under 18years</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379B083F">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54%</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51981CC5">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112%</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5394A122">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bCs/>
                <w:sz w:val="20"/>
                <w:szCs w:val="20"/>
              </w:rPr>
              <w:t>34.95%</w:t>
            </w:r>
          </w:p>
        </w:tc>
        <w:tc>
          <w:tcPr>
            <w:tcW w:w="144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7F680F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36.95%</w:t>
            </w:r>
          </w:p>
        </w:tc>
        <w:tc>
          <w:tcPr>
            <w:tcW w:w="1530" w:type="dxa"/>
            <w:tcBorders>
              <w:left w:val="single" w:color="auto" w:sz="4" w:space="0"/>
              <w:right w:val="single" w:color="auto" w:sz="4" w:space="0"/>
            </w:tcBorders>
            <w:shd w:val="clear" w:color="auto" w:fill="F2F2F2"/>
            <w:vAlign w:val="center"/>
          </w:tcPr>
          <w:p w14:paraId="16BDBDD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36.95%</w:t>
            </w:r>
          </w:p>
        </w:tc>
        <w:tc>
          <w:tcPr>
            <w:tcW w:w="1620" w:type="dxa"/>
            <w:tcBorders>
              <w:left w:val="single" w:color="auto" w:sz="4" w:space="0"/>
              <w:right w:val="single" w:color="auto" w:sz="4" w:space="0"/>
            </w:tcBorders>
            <w:shd w:val="clear" w:color="auto" w:fill="F2F2F2"/>
            <w:vAlign w:val="center"/>
          </w:tcPr>
          <w:p w14:paraId="08280F7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36.97%</w:t>
            </w:r>
          </w:p>
        </w:tc>
      </w:tr>
      <w:tr w14:paraId="5D86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25"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00C92F28">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shd w:val="clear" w:color="auto" w:fill="F2F2F2"/>
            <w:vAlign w:val="center"/>
          </w:tcPr>
          <w:p w14:paraId="4122D232">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F2F2F2"/>
          </w:tcPr>
          <w:p w14:paraId="6FE698A3">
            <w:pPr>
              <w:rPr>
                <w:rFonts w:ascii="Times New Roman" w:hAnsi="Times New Roman" w:cs="Times New Roman"/>
                <w:sz w:val="20"/>
                <w:szCs w:val="20"/>
              </w:rPr>
            </w:pPr>
            <w:r>
              <w:rPr>
                <w:rFonts w:ascii="Times New Roman" w:hAnsi="Times New Roman" w:eastAsia="Times New Roman" w:cs="Times New Roman"/>
                <w:sz w:val="20"/>
                <w:szCs w:val="20"/>
              </w:rPr>
              <w:t>Pregnant Women</w:t>
            </w:r>
          </w:p>
        </w:tc>
        <w:tc>
          <w:tcPr>
            <w:tcW w:w="1710" w:type="dxa"/>
            <w:tcBorders>
              <w:top w:val="single" w:color="auto" w:sz="4" w:space="0"/>
              <w:left w:val="single" w:color="auto" w:sz="4" w:space="0"/>
              <w:bottom w:val="single" w:color="auto" w:sz="4" w:space="0"/>
              <w:right w:val="single" w:color="auto" w:sz="4" w:space="0"/>
            </w:tcBorders>
            <w:shd w:val="clear" w:color="auto" w:fill="F2F2F2"/>
            <w:vAlign w:val="center"/>
          </w:tcPr>
          <w:p w14:paraId="7C7A8DA9">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74%</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049994B1">
            <w:pPr>
              <w:spacing w:after="0" w:line="240" w:lineRule="auto"/>
              <w:jc w:val="center"/>
              <w:rPr>
                <w:rFonts w:ascii="Times New Roman" w:hAnsi="Times New Roman" w:eastAsia="Times New Roman" w:cs="Times New Roman"/>
                <w:b/>
                <w:bCs/>
                <w:sz w:val="20"/>
                <w:szCs w:val="20"/>
              </w:rPr>
            </w:pPr>
            <w:r>
              <w:rPr>
                <w:rFonts w:ascii="Times New Roman" w:hAnsi="Times New Roman" w:eastAsia="Calibri" w:cs="Times New Roman"/>
                <w:sz w:val="20"/>
                <w:szCs w:val="20"/>
                <w:lang w:eastAsia="zh-CN" w:bidi="ar"/>
              </w:rPr>
              <w:t>75.2%</w:t>
            </w:r>
          </w:p>
        </w:tc>
        <w:tc>
          <w:tcPr>
            <w:tcW w:w="1620" w:type="dxa"/>
            <w:tcBorders>
              <w:top w:val="single" w:color="auto" w:sz="4" w:space="0"/>
              <w:left w:val="single" w:color="auto" w:sz="4" w:space="0"/>
              <w:bottom w:val="single" w:color="auto" w:sz="4" w:space="0"/>
              <w:right w:val="single" w:color="auto" w:sz="4" w:space="0"/>
            </w:tcBorders>
            <w:shd w:val="clear" w:color="auto" w:fill="F2F2F2"/>
            <w:vAlign w:val="center"/>
          </w:tcPr>
          <w:p w14:paraId="12EA0D5D">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lang w:eastAsia="zh-CN" w:bidi="ar"/>
              </w:rPr>
              <w:t>1.64%</w:t>
            </w:r>
          </w:p>
        </w:tc>
        <w:tc>
          <w:tcPr>
            <w:tcW w:w="144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80F721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lang w:eastAsia="zh-CN" w:bidi="ar"/>
              </w:rPr>
              <w:t>1.69%</w:t>
            </w:r>
          </w:p>
        </w:tc>
        <w:tc>
          <w:tcPr>
            <w:tcW w:w="1530" w:type="dxa"/>
            <w:tcBorders>
              <w:left w:val="single" w:color="auto" w:sz="4" w:space="0"/>
              <w:right w:val="single" w:color="auto" w:sz="4" w:space="0"/>
            </w:tcBorders>
            <w:shd w:val="clear" w:color="auto" w:fill="F2F2F2"/>
            <w:vAlign w:val="center"/>
          </w:tcPr>
          <w:p w14:paraId="4397C26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lang w:eastAsia="zh-CN" w:bidi="ar"/>
              </w:rPr>
              <w:t>1.69%</w:t>
            </w:r>
          </w:p>
        </w:tc>
        <w:tc>
          <w:tcPr>
            <w:tcW w:w="1620" w:type="dxa"/>
            <w:tcBorders>
              <w:left w:val="single" w:color="auto" w:sz="4" w:space="0"/>
              <w:right w:val="single" w:color="auto" w:sz="4" w:space="0"/>
            </w:tcBorders>
            <w:shd w:val="clear" w:color="auto" w:fill="F2F2F2"/>
            <w:vAlign w:val="center"/>
          </w:tcPr>
          <w:p w14:paraId="3008D2A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lang w:eastAsia="zh-CN" w:bidi="ar"/>
              </w:rPr>
              <w:t>1.70%</w:t>
            </w:r>
          </w:p>
        </w:tc>
      </w:tr>
      <w:tr w14:paraId="15C1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25" w:type="dxa"/>
            <w:vMerge w:val="restart"/>
            <w:tcBorders>
              <w:top w:val="single" w:color="auto" w:sz="4" w:space="0"/>
              <w:left w:val="single" w:color="auto" w:sz="4" w:space="0"/>
              <w:right w:val="single" w:color="auto" w:sz="4" w:space="0"/>
            </w:tcBorders>
            <w:vAlign w:val="center"/>
          </w:tcPr>
          <w:p w14:paraId="0DB266C7">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vAlign w:val="center"/>
          </w:tcPr>
          <w:p w14:paraId="101DA0CF">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Number of births and deaths registered</w:t>
            </w:r>
          </w:p>
          <w:p w14:paraId="5BAEE7BC">
            <w:pPr>
              <w:numPr>
                <w:ilvl w:val="0"/>
                <w:numId w:val="20"/>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Birth (sex)</w:t>
            </w:r>
          </w:p>
        </w:tc>
        <w:tc>
          <w:tcPr>
            <w:tcW w:w="2430" w:type="dxa"/>
            <w:tcBorders>
              <w:top w:val="single" w:color="auto" w:sz="4" w:space="0"/>
              <w:left w:val="single" w:color="auto" w:sz="4" w:space="0"/>
              <w:right w:val="single" w:color="auto" w:sz="4" w:space="0"/>
            </w:tcBorders>
          </w:tcPr>
          <w:p w14:paraId="5FFCFC86">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710" w:type="dxa"/>
            <w:tcBorders>
              <w:top w:val="single" w:color="auto" w:sz="4" w:space="0"/>
              <w:left w:val="single" w:color="auto" w:sz="4" w:space="0"/>
              <w:bottom w:val="single" w:color="auto" w:sz="4" w:space="0"/>
              <w:right w:val="single" w:color="auto" w:sz="4" w:space="0"/>
            </w:tcBorders>
            <w:vAlign w:val="center"/>
          </w:tcPr>
          <w:p w14:paraId="077089BC">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2,684</w:t>
            </w:r>
          </w:p>
        </w:tc>
        <w:tc>
          <w:tcPr>
            <w:tcW w:w="1620" w:type="dxa"/>
            <w:tcBorders>
              <w:top w:val="single" w:color="auto" w:sz="4" w:space="0"/>
              <w:left w:val="single" w:color="auto" w:sz="4" w:space="0"/>
              <w:bottom w:val="single" w:color="auto" w:sz="4" w:space="0"/>
              <w:right w:val="single" w:color="auto" w:sz="4" w:space="0"/>
            </w:tcBorders>
            <w:vAlign w:val="center"/>
          </w:tcPr>
          <w:p w14:paraId="036097BD">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2734</w:t>
            </w:r>
          </w:p>
          <w:p w14:paraId="2BA9E81B">
            <w:pPr>
              <w:spacing w:after="0" w:line="240" w:lineRule="auto"/>
              <w:jc w:val="center"/>
              <w:rPr>
                <w:rFonts w:ascii="Times New Roman" w:hAnsi="Times New Roman" w:eastAsia="Times New Roman" w:cs="Times New Roman"/>
                <w:b/>
                <w:sz w:val="20"/>
                <w:szCs w:val="20"/>
                <w:lang w:val="en-GB"/>
              </w:rPr>
            </w:pPr>
          </w:p>
        </w:tc>
        <w:tc>
          <w:tcPr>
            <w:tcW w:w="1620" w:type="dxa"/>
            <w:tcBorders>
              <w:top w:val="single" w:color="auto" w:sz="4" w:space="0"/>
              <w:left w:val="single" w:color="auto" w:sz="4" w:space="0"/>
              <w:bottom w:val="single" w:color="auto" w:sz="4" w:space="0"/>
              <w:right w:val="single" w:color="auto" w:sz="4" w:space="0"/>
            </w:tcBorders>
            <w:vAlign w:val="center"/>
          </w:tcPr>
          <w:p w14:paraId="303A215C">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2,926</w:t>
            </w:r>
          </w:p>
          <w:p w14:paraId="411EA030">
            <w:pPr>
              <w:spacing w:after="0" w:line="240" w:lineRule="auto"/>
              <w:jc w:val="center"/>
              <w:rPr>
                <w:rFonts w:ascii="Times New Roman" w:hAnsi="Times New Roman" w:eastAsia="Times New Roman" w:cs="Times New Roman"/>
                <w:b/>
                <w:sz w:val="20"/>
                <w:szCs w:val="20"/>
                <w:lang w:val="en-GB"/>
              </w:rPr>
            </w:pPr>
          </w:p>
        </w:tc>
        <w:tc>
          <w:tcPr>
            <w:tcW w:w="1440" w:type="dxa"/>
            <w:tcBorders>
              <w:top w:val="single" w:color="auto" w:sz="4" w:space="0"/>
              <w:left w:val="single" w:color="auto" w:sz="4" w:space="0"/>
              <w:right w:val="single" w:color="auto" w:sz="4" w:space="0"/>
            </w:tcBorders>
            <w:vAlign w:val="center"/>
          </w:tcPr>
          <w:p w14:paraId="4EF41C24">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3,096</w:t>
            </w:r>
          </w:p>
          <w:p w14:paraId="05E86E98">
            <w:pPr>
              <w:spacing w:after="0" w:line="240" w:lineRule="auto"/>
              <w:jc w:val="center"/>
              <w:rPr>
                <w:rFonts w:ascii="Times New Roman" w:hAnsi="Times New Roman" w:eastAsia="Times New Roman" w:cs="Times New Roman"/>
                <w:b/>
                <w:sz w:val="20"/>
                <w:szCs w:val="20"/>
                <w:lang w:val="en-GB"/>
              </w:rPr>
            </w:pPr>
          </w:p>
        </w:tc>
        <w:tc>
          <w:tcPr>
            <w:tcW w:w="1530" w:type="dxa"/>
            <w:tcBorders>
              <w:top w:val="single" w:color="auto" w:sz="4" w:space="0"/>
              <w:left w:val="single" w:color="auto" w:sz="4" w:space="0"/>
              <w:right w:val="single" w:color="auto" w:sz="4" w:space="0"/>
            </w:tcBorders>
            <w:vAlign w:val="center"/>
          </w:tcPr>
          <w:p w14:paraId="40E764B5">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3,096</w:t>
            </w:r>
          </w:p>
          <w:p w14:paraId="080F4308">
            <w:pPr>
              <w:spacing w:after="0" w:line="240" w:lineRule="auto"/>
              <w:jc w:val="center"/>
              <w:rPr>
                <w:rFonts w:ascii="Times New Roman" w:hAnsi="Times New Roman" w:eastAsia="Times New Roman" w:cs="Times New Roman"/>
                <w:b/>
                <w:sz w:val="20"/>
                <w:szCs w:val="20"/>
                <w:lang w:val="en-GB"/>
              </w:rPr>
            </w:pPr>
          </w:p>
        </w:tc>
        <w:tc>
          <w:tcPr>
            <w:tcW w:w="1620" w:type="dxa"/>
            <w:tcBorders>
              <w:top w:val="single" w:color="auto" w:sz="4" w:space="0"/>
              <w:left w:val="single" w:color="auto" w:sz="4" w:space="0"/>
              <w:right w:val="single" w:color="auto" w:sz="4" w:space="0"/>
            </w:tcBorders>
          </w:tcPr>
          <w:p w14:paraId="4C8B4420">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664</w:t>
            </w:r>
          </w:p>
        </w:tc>
      </w:tr>
      <w:tr w14:paraId="59FE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25" w:type="dxa"/>
            <w:vMerge w:val="continue"/>
            <w:tcBorders>
              <w:left w:val="single" w:color="auto" w:sz="4" w:space="0"/>
              <w:right w:val="single" w:color="auto" w:sz="4" w:space="0"/>
            </w:tcBorders>
            <w:vAlign w:val="center"/>
          </w:tcPr>
          <w:p w14:paraId="365852F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757430C3">
            <w:pPr>
              <w:spacing w:after="0" w:line="240" w:lineRule="auto"/>
              <w:rPr>
                <w:rFonts w:ascii="Times New Roman" w:hAnsi="Times New Roman" w:eastAsia="Times New Roman" w:cs="Times New Roman"/>
                <w:b/>
                <w:sz w:val="20"/>
                <w:szCs w:val="20"/>
              </w:rPr>
            </w:pPr>
          </w:p>
        </w:tc>
        <w:tc>
          <w:tcPr>
            <w:tcW w:w="2430" w:type="dxa"/>
            <w:tcBorders>
              <w:left w:val="single" w:color="auto" w:sz="4" w:space="0"/>
              <w:right w:val="single" w:color="auto" w:sz="4" w:space="0"/>
            </w:tcBorders>
          </w:tcPr>
          <w:p w14:paraId="057F90EB">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710" w:type="dxa"/>
            <w:tcBorders>
              <w:top w:val="single" w:color="auto" w:sz="4" w:space="0"/>
              <w:left w:val="single" w:color="auto" w:sz="4" w:space="0"/>
              <w:bottom w:val="single" w:color="auto" w:sz="4" w:space="0"/>
              <w:right w:val="single" w:color="auto" w:sz="4" w:space="0"/>
            </w:tcBorders>
            <w:vAlign w:val="center"/>
          </w:tcPr>
          <w:p w14:paraId="09E7466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1,433</w:t>
            </w:r>
          </w:p>
          <w:p w14:paraId="08841497">
            <w:pPr>
              <w:spacing w:after="0" w:line="240" w:lineRule="auto"/>
              <w:jc w:val="center"/>
              <w:rPr>
                <w:rFonts w:ascii="Times New Roman" w:hAnsi="Times New Roman" w:eastAsia="Times New Roman" w:cs="Times New Roman"/>
                <w:sz w:val="20"/>
                <w:szCs w:val="20"/>
                <w:lang w:val="en-GB"/>
              </w:rPr>
            </w:pPr>
          </w:p>
        </w:tc>
        <w:tc>
          <w:tcPr>
            <w:tcW w:w="1620" w:type="dxa"/>
            <w:tcBorders>
              <w:top w:val="single" w:color="auto" w:sz="4" w:space="0"/>
              <w:left w:val="single" w:color="auto" w:sz="4" w:space="0"/>
              <w:bottom w:val="single" w:color="auto" w:sz="4" w:space="0"/>
              <w:right w:val="single" w:color="auto" w:sz="4" w:space="0"/>
            </w:tcBorders>
            <w:vAlign w:val="center"/>
          </w:tcPr>
          <w:p w14:paraId="4E16A96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1,442</w:t>
            </w:r>
          </w:p>
        </w:tc>
        <w:tc>
          <w:tcPr>
            <w:tcW w:w="1620" w:type="dxa"/>
            <w:tcBorders>
              <w:top w:val="single" w:color="auto" w:sz="4" w:space="0"/>
              <w:left w:val="single" w:color="auto" w:sz="4" w:space="0"/>
              <w:bottom w:val="single" w:color="auto" w:sz="4" w:space="0"/>
              <w:right w:val="single" w:color="auto" w:sz="4" w:space="0"/>
            </w:tcBorders>
            <w:vAlign w:val="center"/>
          </w:tcPr>
          <w:p w14:paraId="566E2910">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1,494</w:t>
            </w:r>
          </w:p>
        </w:tc>
        <w:tc>
          <w:tcPr>
            <w:tcW w:w="1440" w:type="dxa"/>
            <w:tcBorders>
              <w:top w:val="single" w:color="auto" w:sz="4" w:space="0"/>
              <w:left w:val="single" w:color="auto" w:sz="4" w:space="0"/>
              <w:right w:val="single" w:color="auto" w:sz="4" w:space="0"/>
            </w:tcBorders>
            <w:vAlign w:val="center"/>
          </w:tcPr>
          <w:p w14:paraId="5B2A37A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1,</w:t>
            </w:r>
            <w:r>
              <w:rPr>
                <w:rFonts w:ascii="Times New Roman" w:hAnsi="Times New Roman" w:eastAsia="Times New Roman" w:cs="Times New Roman"/>
                <w:sz w:val="20"/>
                <w:szCs w:val="20"/>
              </w:rPr>
              <w:t>637</w:t>
            </w:r>
          </w:p>
        </w:tc>
        <w:tc>
          <w:tcPr>
            <w:tcW w:w="1530" w:type="dxa"/>
            <w:tcBorders>
              <w:left w:val="single" w:color="auto" w:sz="4" w:space="0"/>
              <w:right w:val="single" w:color="auto" w:sz="4" w:space="0"/>
            </w:tcBorders>
            <w:vAlign w:val="center"/>
          </w:tcPr>
          <w:p w14:paraId="7DA70B7D">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1,</w:t>
            </w:r>
            <w:r>
              <w:rPr>
                <w:rFonts w:ascii="Times New Roman" w:hAnsi="Times New Roman" w:eastAsia="Times New Roman" w:cs="Times New Roman"/>
                <w:sz w:val="20"/>
                <w:szCs w:val="20"/>
              </w:rPr>
              <w:t>637</w:t>
            </w:r>
          </w:p>
        </w:tc>
        <w:tc>
          <w:tcPr>
            <w:tcW w:w="1620" w:type="dxa"/>
            <w:tcBorders>
              <w:left w:val="single" w:color="auto" w:sz="4" w:space="0"/>
              <w:right w:val="single" w:color="auto" w:sz="4" w:space="0"/>
            </w:tcBorders>
          </w:tcPr>
          <w:p w14:paraId="0C70AF3A">
            <w:pPr>
              <w:tabs>
                <w:tab w:val="left" w:pos="217"/>
              </w:tabs>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332</w:t>
            </w:r>
          </w:p>
        </w:tc>
      </w:tr>
      <w:tr w14:paraId="70C4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25" w:type="dxa"/>
            <w:vMerge w:val="continue"/>
            <w:tcBorders>
              <w:left w:val="single" w:color="auto" w:sz="4" w:space="0"/>
              <w:right w:val="single" w:color="auto" w:sz="4" w:space="0"/>
            </w:tcBorders>
            <w:vAlign w:val="center"/>
          </w:tcPr>
          <w:p w14:paraId="2673FBA3">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4A8953BD">
            <w:pPr>
              <w:spacing w:after="0" w:line="240" w:lineRule="auto"/>
              <w:rPr>
                <w:rFonts w:ascii="Times New Roman" w:hAnsi="Times New Roman" w:eastAsia="Times New Roman" w:cs="Times New Roman"/>
                <w:b/>
                <w:sz w:val="20"/>
                <w:szCs w:val="20"/>
              </w:rPr>
            </w:pPr>
          </w:p>
        </w:tc>
        <w:tc>
          <w:tcPr>
            <w:tcW w:w="2430" w:type="dxa"/>
            <w:tcBorders>
              <w:left w:val="single" w:color="auto" w:sz="4" w:space="0"/>
              <w:right w:val="single" w:color="auto" w:sz="4" w:space="0"/>
            </w:tcBorders>
          </w:tcPr>
          <w:p w14:paraId="115E43FE">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710" w:type="dxa"/>
            <w:tcBorders>
              <w:top w:val="single" w:color="auto" w:sz="4" w:space="0"/>
              <w:left w:val="single" w:color="auto" w:sz="4" w:space="0"/>
              <w:bottom w:val="single" w:color="auto" w:sz="4" w:space="0"/>
              <w:right w:val="single" w:color="auto" w:sz="4" w:space="0"/>
            </w:tcBorders>
            <w:vAlign w:val="center"/>
          </w:tcPr>
          <w:p w14:paraId="686321F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1,251</w:t>
            </w:r>
          </w:p>
        </w:tc>
        <w:tc>
          <w:tcPr>
            <w:tcW w:w="1620" w:type="dxa"/>
            <w:tcBorders>
              <w:top w:val="single" w:color="auto" w:sz="4" w:space="0"/>
              <w:left w:val="single" w:color="auto" w:sz="4" w:space="0"/>
              <w:bottom w:val="single" w:color="auto" w:sz="4" w:space="0"/>
              <w:right w:val="single" w:color="auto" w:sz="4" w:space="0"/>
            </w:tcBorders>
            <w:vAlign w:val="center"/>
          </w:tcPr>
          <w:p w14:paraId="3E19FD0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1,292</w:t>
            </w:r>
          </w:p>
        </w:tc>
        <w:tc>
          <w:tcPr>
            <w:tcW w:w="1620" w:type="dxa"/>
            <w:tcBorders>
              <w:top w:val="single" w:color="auto" w:sz="4" w:space="0"/>
              <w:left w:val="single" w:color="auto" w:sz="4" w:space="0"/>
              <w:bottom w:val="single" w:color="auto" w:sz="4" w:space="0"/>
              <w:right w:val="single" w:color="auto" w:sz="4" w:space="0"/>
            </w:tcBorders>
            <w:vAlign w:val="center"/>
          </w:tcPr>
          <w:p w14:paraId="060C032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1,432</w:t>
            </w:r>
          </w:p>
        </w:tc>
        <w:tc>
          <w:tcPr>
            <w:tcW w:w="1440" w:type="dxa"/>
            <w:tcBorders>
              <w:top w:val="single" w:color="auto" w:sz="4" w:space="0"/>
              <w:left w:val="single" w:color="auto" w:sz="4" w:space="0"/>
              <w:right w:val="single" w:color="auto" w:sz="4" w:space="0"/>
            </w:tcBorders>
            <w:vAlign w:val="center"/>
          </w:tcPr>
          <w:p w14:paraId="15E0D4D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r>
              <w:rPr>
                <w:rFonts w:ascii="Times New Roman" w:hAnsi="Times New Roman" w:eastAsia="Times New Roman" w:cs="Times New Roman"/>
                <w:sz w:val="20"/>
                <w:szCs w:val="20"/>
              </w:rPr>
              <w:t>456</w:t>
            </w:r>
          </w:p>
        </w:tc>
        <w:tc>
          <w:tcPr>
            <w:tcW w:w="1530" w:type="dxa"/>
            <w:tcBorders>
              <w:left w:val="single" w:color="auto" w:sz="4" w:space="0"/>
              <w:right w:val="single" w:color="auto" w:sz="4" w:space="0"/>
            </w:tcBorders>
            <w:vAlign w:val="center"/>
          </w:tcPr>
          <w:p w14:paraId="6D5128D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r>
              <w:rPr>
                <w:rFonts w:ascii="Times New Roman" w:hAnsi="Times New Roman" w:eastAsia="Times New Roman" w:cs="Times New Roman"/>
                <w:sz w:val="20"/>
                <w:szCs w:val="20"/>
              </w:rPr>
              <w:t>456</w:t>
            </w:r>
          </w:p>
        </w:tc>
        <w:tc>
          <w:tcPr>
            <w:tcW w:w="1620" w:type="dxa"/>
            <w:tcBorders>
              <w:left w:val="single" w:color="auto" w:sz="4" w:space="0"/>
              <w:right w:val="single" w:color="auto" w:sz="4" w:space="0"/>
            </w:tcBorders>
          </w:tcPr>
          <w:p w14:paraId="5D99CFC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332</w:t>
            </w:r>
          </w:p>
        </w:tc>
      </w:tr>
      <w:tr w14:paraId="139B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restart"/>
            <w:tcBorders>
              <w:left w:val="single" w:color="auto" w:sz="4" w:space="0"/>
              <w:right w:val="single" w:color="auto" w:sz="4" w:space="0"/>
            </w:tcBorders>
            <w:vAlign w:val="center"/>
          </w:tcPr>
          <w:p w14:paraId="45393784">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left w:val="single" w:color="auto" w:sz="4" w:space="0"/>
              <w:right w:val="single" w:color="auto" w:sz="4" w:space="0"/>
            </w:tcBorders>
          </w:tcPr>
          <w:p w14:paraId="3F1397B3">
            <w:pPr>
              <w:numPr>
                <w:ilvl w:val="0"/>
                <w:numId w:val="20"/>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Death (sex, age group)</w:t>
            </w:r>
          </w:p>
        </w:tc>
        <w:tc>
          <w:tcPr>
            <w:tcW w:w="2430" w:type="dxa"/>
            <w:tcBorders>
              <w:left w:val="single" w:color="auto" w:sz="4" w:space="0"/>
              <w:right w:val="single" w:color="auto" w:sz="4" w:space="0"/>
            </w:tcBorders>
          </w:tcPr>
          <w:p w14:paraId="6DAF7236">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710" w:type="dxa"/>
            <w:tcBorders>
              <w:top w:val="single" w:color="auto" w:sz="4" w:space="0"/>
              <w:left w:val="single" w:color="auto" w:sz="4" w:space="0"/>
              <w:bottom w:val="single" w:color="auto" w:sz="4" w:space="0"/>
              <w:right w:val="single" w:color="auto" w:sz="4" w:space="0"/>
            </w:tcBorders>
            <w:vAlign w:val="center"/>
          </w:tcPr>
          <w:p w14:paraId="7EBD66B1">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91</w:t>
            </w:r>
          </w:p>
        </w:tc>
        <w:tc>
          <w:tcPr>
            <w:tcW w:w="1620" w:type="dxa"/>
            <w:tcBorders>
              <w:top w:val="single" w:color="auto" w:sz="4" w:space="0"/>
              <w:left w:val="single" w:color="auto" w:sz="4" w:space="0"/>
              <w:bottom w:val="single" w:color="auto" w:sz="4" w:space="0"/>
              <w:right w:val="single" w:color="auto" w:sz="4" w:space="0"/>
            </w:tcBorders>
            <w:vAlign w:val="center"/>
          </w:tcPr>
          <w:p w14:paraId="431995DA">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78</w:t>
            </w:r>
          </w:p>
        </w:tc>
        <w:tc>
          <w:tcPr>
            <w:tcW w:w="1620" w:type="dxa"/>
            <w:tcBorders>
              <w:top w:val="single" w:color="auto" w:sz="4" w:space="0"/>
              <w:left w:val="single" w:color="auto" w:sz="4" w:space="0"/>
              <w:bottom w:val="single" w:color="auto" w:sz="4" w:space="0"/>
              <w:right w:val="single" w:color="auto" w:sz="4" w:space="0"/>
            </w:tcBorders>
            <w:vAlign w:val="center"/>
          </w:tcPr>
          <w:p w14:paraId="4796A848">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65</w:t>
            </w:r>
          </w:p>
        </w:tc>
        <w:tc>
          <w:tcPr>
            <w:tcW w:w="1440" w:type="dxa"/>
            <w:tcBorders>
              <w:left w:val="single" w:color="auto" w:sz="4" w:space="0"/>
              <w:bottom w:val="single" w:color="auto" w:sz="4" w:space="0"/>
              <w:right w:val="single" w:color="auto" w:sz="4" w:space="0"/>
            </w:tcBorders>
            <w:vAlign w:val="center"/>
          </w:tcPr>
          <w:p w14:paraId="79C2B50F">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71</w:t>
            </w:r>
          </w:p>
        </w:tc>
        <w:tc>
          <w:tcPr>
            <w:tcW w:w="1530" w:type="dxa"/>
            <w:tcBorders>
              <w:left w:val="single" w:color="auto" w:sz="4" w:space="0"/>
              <w:right w:val="single" w:color="auto" w:sz="4" w:space="0"/>
            </w:tcBorders>
          </w:tcPr>
          <w:p w14:paraId="3DA8F7A9">
            <w:pPr>
              <w:jc w:val="center"/>
              <w:rPr>
                <w:rFonts w:ascii="Times New Roman" w:hAnsi="Times New Roman" w:cs="Times New Roman"/>
                <w:b/>
                <w:sz w:val="20"/>
                <w:szCs w:val="20"/>
              </w:rPr>
            </w:pPr>
            <w:r>
              <w:rPr>
                <w:rFonts w:ascii="Times New Roman" w:hAnsi="Times New Roman" w:eastAsia="Calibri" w:cs="Times New Roman"/>
                <w:b/>
                <w:bCs/>
                <w:sz w:val="20"/>
                <w:szCs w:val="20"/>
              </w:rPr>
              <w:t>0</w:t>
            </w:r>
          </w:p>
        </w:tc>
        <w:tc>
          <w:tcPr>
            <w:tcW w:w="1620" w:type="dxa"/>
            <w:tcBorders>
              <w:left w:val="single" w:color="auto" w:sz="4" w:space="0"/>
              <w:right w:val="single" w:color="auto" w:sz="4" w:space="0"/>
            </w:tcBorders>
          </w:tcPr>
          <w:p w14:paraId="1631E7F0">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14</w:t>
            </w:r>
          </w:p>
        </w:tc>
      </w:tr>
      <w:tr w14:paraId="73F7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625" w:type="dxa"/>
            <w:vMerge w:val="continue"/>
            <w:tcBorders>
              <w:left w:val="single" w:color="auto" w:sz="4" w:space="0"/>
              <w:right w:val="single" w:color="auto" w:sz="4" w:space="0"/>
            </w:tcBorders>
            <w:vAlign w:val="center"/>
          </w:tcPr>
          <w:p w14:paraId="5322886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tcPr>
          <w:p w14:paraId="6ED863F5">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7E7FAE34">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710" w:type="dxa"/>
            <w:tcBorders>
              <w:top w:val="single" w:color="auto" w:sz="4" w:space="0"/>
              <w:left w:val="single" w:color="auto" w:sz="4" w:space="0"/>
              <w:bottom w:val="single" w:color="auto" w:sz="4" w:space="0"/>
              <w:right w:val="single" w:color="auto" w:sz="4" w:space="0"/>
            </w:tcBorders>
            <w:vAlign w:val="center"/>
          </w:tcPr>
          <w:p w14:paraId="034AF90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54</w:t>
            </w:r>
          </w:p>
        </w:tc>
        <w:tc>
          <w:tcPr>
            <w:tcW w:w="1620" w:type="dxa"/>
            <w:tcBorders>
              <w:top w:val="single" w:color="auto" w:sz="4" w:space="0"/>
              <w:left w:val="single" w:color="auto" w:sz="4" w:space="0"/>
              <w:bottom w:val="single" w:color="auto" w:sz="4" w:space="0"/>
              <w:right w:val="single" w:color="auto" w:sz="4" w:space="0"/>
            </w:tcBorders>
            <w:vAlign w:val="center"/>
          </w:tcPr>
          <w:p w14:paraId="6E3F556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43</w:t>
            </w:r>
          </w:p>
        </w:tc>
        <w:tc>
          <w:tcPr>
            <w:tcW w:w="1620" w:type="dxa"/>
            <w:tcBorders>
              <w:top w:val="single" w:color="auto" w:sz="4" w:space="0"/>
              <w:left w:val="single" w:color="auto" w:sz="4" w:space="0"/>
              <w:bottom w:val="single" w:color="auto" w:sz="4" w:space="0"/>
              <w:right w:val="single" w:color="auto" w:sz="4" w:space="0"/>
            </w:tcBorders>
            <w:vAlign w:val="center"/>
          </w:tcPr>
          <w:p w14:paraId="0EBD546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41</w:t>
            </w:r>
          </w:p>
        </w:tc>
        <w:tc>
          <w:tcPr>
            <w:tcW w:w="1440" w:type="dxa"/>
            <w:tcBorders>
              <w:left w:val="single" w:color="auto" w:sz="4" w:space="0"/>
              <w:bottom w:val="single" w:color="auto" w:sz="4" w:space="0"/>
              <w:right w:val="single" w:color="auto" w:sz="4" w:space="0"/>
            </w:tcBorders>
            <w:vAlign w:val="center"/>
          </w:tcPr>
          <w:p w14:paraId="105BAC2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4</w:t>
            </w:r>
            <w:r>
              <w:rPr>
                <w:rFonts w:ascii="Times New Roman" w:hAnsi="Times New Roman" w:eastAsia="Times New Roman" w:cs="Times New Roman"/>
                <w:sz w:val="20"/>
                <w:szCs w:val="20"/>
              </w:rPr>
              <w:t>5</w:t>
            </w:r>
          </w:p>
        </w:tc>
        <w:tc>
          <w:tcPr>
            <w:tcW w:w="1530" w:type="dxa"/>
            <w:tcBorders>
              <w:left w:val="single" w:color="auto" w:sz="4" w:space="0"/>
              <w:right w:val="single" w:color="auto" w:sz="4" w:space="0"/>
            </w:tcBorders>
          </w:tcPr>
          <w:p w14:paraId="27E7A7D0">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Borders>
              <w:left w:val="single" w:color="auto" w:sz="4" w:space="0"/>
              <w:right w:val="single" w:color="auto" w:sz="4" w:space="0"/>
            </w:tcBorders>
          </w:tcPr>
          <w:p w14:paraId="7D1D9C0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w:t>
            </w:r>
          </w:p>
        </w:tc>
      </w:tr>
      <w:tr w14:paraId="3693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25" w:type="dxa"/>
            <w:vMerge w:val="continue"/>
            <w:tcBorders>
              <w:left w:val="single" w:color="auto" w:sz="4" w:space="0"/>
              <w:right w:val="single" w:color="auto" w:sz="4" w:space="0"/>
            </w:tcBorders>
            <w:vAlign w:val="center"/>
          </w:tcPr>
          <w:p w14:paraId="726896A2">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tcPr>
          <w:p w14:paraId="3167AE47">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7195A325">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710" w:type="dxa"/>
            <w:tcBorders>
              <w:top w:val="single" w:color="auto" w:sz="4" w:space="0"/>
              <w:left w:val="single" w:color="auto" w:sz="4" w:space="0"/>
              <w:bottom w:val="single" w:color="auto" w:sz="4" w:space="0"/>
              <w:right w:val="single" w:color="auto" w:sz="4" w:space="0"/>
            </w:tcBorders>
            <w:vAlign w:val="center"/>
          </w:tcPr>
          <w:p w14:paraId="14A0BBF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37</w:t>
            </w:r>
          </w:p>
        </w:tc>
        <w:tc>
          <w:tcPr>
            <w:tcW w:w="1620" w:type="dxa"/>
            <w:tcBorders>
              <w:top w:val="single" w:color="auto" w:sz="4" w:space="0"/>
              <w:left w:val="single" w:color="auto" w:sz="4" w:space="0"/>
              <w:bottom w:val="single" w:color="auto" w:sz="4" w:space="0"/>
              <w:right w:val="single" w:color="auto" w:sz="4" w:space="0"/>
            </w:tcBorders>
            <w:vAlign w:val="center"/>
          </w:tcPr>
          <w:p w14:paraId="7558314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35</w:t>
            </w:r>
          </w:p>
        </w:tc>
        <w:tc>
          <w:tcPr>
            <w:tcW w:w="1620" w:type="dxa"/>
            <w:tcBorders>
              <w:top w:val="single" w:color="auto" w:sz="4" w:space="0"/>
              <w:left w:val="single" w:color="auto" w:sz="4" w:space="0"/>
              <w:bottom w:val="single" w:color="auto" w:sz="4" w:space="0"/>
              <w:right w:val="single" w:color="auto" w:sz="4" w:space="0"/>
            </w:tcBorders>
            <w:vAlign w:val="center"/>
          </w:tcPr>
          <w:p w14:paraId="536720E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24</w:t>
            </w:r>
          </w:p>
        </w:tc>
        <w:tc>
          <w:tcPr>
            <w:tcW w:w="1440" w:type="dxa"/>
            <w:tcBorders>
              <w:left w:val="single" w:color="auto" w:sz="4" w:space="0"/>
              <w:bottom w:val="single" w:color="auto" w:sz="4" w:space="0"/>
              <w:right w:val="single" w:color="auto" w:sz="4" w:space="0"/>
            </w:tcBorders>
            <w:vAlign w:val="center"/>
          </w:tcPr>
          <w:p w14:paraId="3665E2B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2</w:t>
            </w:r>
            <w:r>
              <w:rPr>
                <w:rFonts w:ascii="Times New Roman" w:hAnsi="Times New Roman" w:eastAsia="Times New Roman" w:cs="Times New Roman"/>
                <w:sz w:val="20"/>
                <w:szCs w:val="20"/>
              </w:rPr>
              <w:t>6</w:t>
            </w:r>
          </w:p>
        </w:tc>
        <w:tc>
          <w:tcPr>
            <w:tcW w:w="1530" w:type="dxa"/>
            <w:tcBorders>
              <w:left w:val="single" w:color="auto" w:sz="4" w:space="0"/>
              <w:right w:val="single" w:color="auto" w:sz="4" w:space="0"/>
            </w:tcBorders>
          </w:tcPr>
          <w:p w14:paraId="7DB71AB5">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Borders>
              <w:left w:val="single" w:color="auto" w:sz="4" w:space="0"/>
              <w:right w:val="single" w:color="auto" w:sz="4" w:space="0"/>
            </w:tcBorders>
          </w:tcPr>
          <w:p w14:paraId="7488939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w:t>
            </w:r>
          </w:p>
        </w:tc>
      </w:tr>
      <w:tr w14:paraId="570C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625" w:type="dxa"/>
            <w:vMerge w:val="restart"/>
            <w:tcBorders>
              <w:left w:val="single" w:color="auto" w:sz="4" w:space="0"/>
              <w:right w:val="single" w:color="auto" w:sz="4" w:space="0"/>
            </w:tcBorders>
            <w:vAlign w:val="center"/>
          </w:tcPr>
          <w:p w14:paraId="51AC00C7">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left w:val="single" w:color="auto" w:sz="4" w:space="0"/>
              <w:right w:val="single" w:color="auto" w:sz="4" w:space="0"/>
            </w:tcBorders>
          </w:tcPr>
          <w:p w14:paraId="4EA6AB9B">
            <w:pPr>
              <w:numPr>
                <w:ilvl w:val="0"/>
                <w:numId w:val="20"/>
              </w:numPr>
              <w:spacing w:after="0" w:line="240" w:lineRule="auto"/>
              <w:rPr>
                <w:rFonts w:ascii="Times New Roman" w:hAnsi="Times New Roman" w:eastAsia="Times New Roman" w:cs="Times New Roman"/>
                <w:sz w:val="20"/>
                <w:szCs w:val="20"/>
              </w:rPr>
            </w:pPr>
            <w:r>
              <w:rPr>
                <w:rFonts w:ascii="Times New Roman" w:hAnsi="Times New Roman" w:eastAsia="Calibri" w:cs="Times New Roman"/>
                <w:b/>
                <w:sz w:val="20"/>
                <w:szCs w:val="20"/>
                <w:lang w:eastAsia="zh-CN" w:bidi="ar"/>
              </w:rPr>
              <w:t>Death Age 15-64</w:t>
            </w:r>
          </w:p>
        </w:tc>
        <w:tc>
          <w:tcPr>
            <w:tcW w:w="2430" w:type="dxa"/>
            <w:tcBorders>
              <w:left w:val="single" w:color="auto" w:sz="4" w:space="0"/>
              <w:right w:val="single" w:color="auto" w:sz="4" w:space="0"/>
            </w:tcBorders>
          </w:tcPr>
          <w:p w14:paraId="6B1246ED">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710" w:type="dxa"/>
            <w:tcBorders>
              <w:top w:val="single" w:color="auto" w:sz="4" w:space="0"/>
              <w:left w:val="single" w:color="auto" w:sz="4" w:space="0"/>
              <w:bottom w:val="single" w:color="auto" w:sz="4" w:space="0"/>
              <w:right w:val="single" w:color="auto" w:sz="4" w:space="0"/>
            </w:tcBorders>
            <w:vAlign w:val="center"/>
          </w:tcPr>
          <w:p w14:paraId="3737E856">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58</w:t>
            </w:r>
          </w:p>
        </w:tc>
        <w:tc>
          <w:tcPr>
            <w:tcW w:w="1620" w:type="dxa"/>
            <w:tcBorders>
              <w:top w:val="single" w:color="auto" w:sz="4" w:space="0"/>
              <w:left w:val="single" w:color="auto" w:sz="4" w:space="0"/>
              <w:bottom w:val="single" w:color="auto" w:sz="4" w:space="0"/>
              <w:right w:val="single" w:color="auto" w:sz="4" w:space="0"/>
            </w:tcBorders>
            <w:vAlign w:val="center"/>
          </w:tcPr>
          <w:p w14:paraId="76D8F6FE">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70</w:t>
            </w:r>
          </w:p>
        </w:tc>
        <w:tc>
          <w:tcPr>
            <w:tcW w:w="1620" w:type="dxa"/>
            <w:tcBorders>
              <w:top w:val="single" w:color="auto" w:sz="4" w:space="0"/>
              <w:left w:val="single" w:color="auto" w:sz="4" w:space="0"/>
              <w:bottom w:val="single" w:color="auto" w:sz="4" w:space="0"/>
              <w:right w:val="single" w:color="auto" w:sz="4" w:space="0"/>
            </w:tcBorders>
            <w:vAlign w:val="center"/>
          </w:tcPr>
          <w:p w14:paraId="7C88609C">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37</w:t>
            </w:r>
          </w:p>
        </w:tc>
        <w:tc>
          <w:tcPr>
            <w:tcW w:w="1440" w:type="dxa"/>
            <w:vAlign w:val="center"/>
          </w:tcPr>
          <w:p w14:paraId="16EF4812">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42</w:t>
            </w:r>
          </w:p>
        </w:tc>
        <w:tc>
          <w:tcPr>
            <w:tcW w:w="1530" w:type="dxa"/>
          </w:tcPr>
          <w:p w14:paraId="74AC96B4">
            <w:pPr>
              <w:jc w:val="center"/>
              <w:rPr>
                <w:rFonts w:ascii="Times New Roman" w:hAnsi="Times New Roman" w:cs="Times New Roman"/>
                <w:b/>
                <w:sz w:val="20"/>
                <w:szCs w:val="20"/>
              </w:rPr>
            </w:pPr>
            <w:r>
              <w:rPr>
                <w:rFonts w:ascii="Times New Roman" w:hAnsi="Times New Roman" w:eastAsia="Calibri" w:cs="Times New Roman"/>
                <w:b/>
                <w:bCs/>
                <w:sz w:val="20"/>
                <w:szCs w:val="20"/>
              </w:rPr>
              <w:t>0</w:t>
            </w:r>
          </w:p>
        </w:tc>
        <w:tc>
          <w:tcPr>
            <w:tcW w:w="1620" w:type="dxa"/>
          </w:tcPr>
          <w:p w14:paraId="1C1E7220">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6</w:t>
            </w:r>
          </w:p>
        </w:tc>
      </w:tr>
      <w:tr w14:paraId="3E97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25" w:type="dxa"/>
            <w:vMerge w:val="continue"/>
            <w:tcBorders>
              <w:left w:val="single" w:color="auto" w:sz="4" w:space="0"/>
              <w:right w:val="single" w:color="auto" w:sz="4" w:space="0"/>
            </w:tcBorders>
            <w:vAlign w:val="center"/>
          </w:tcPr>
          <w:p w14:paraId="286538F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tcPr>
          <w:p w14:paraId="4E46468C">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790D5042">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710" w:type="dxa"/>
            <w:tcBorders>
              <w:top w:val="single" w:color="auto" w:sz="4" w:space="0"/>
              <w:left w:val="single" w:color="auto" w:sz="4" w:space="0"/>
              <w:bottom w:val="single" w:color="auto" w:sz="4" w:space="0"/>
              <w:right w:val="single" w:color="auto" w:sz="4" w:space="0"/>
            </w:tcBorders>
            <w:vAlign w:val="center"/>
          </w:tcPr>
          <w:p w14:paraId="0ECCE74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40</w:t>
            </w:r>
          </w:p>
        </w:tc>
        <w:tc>
          <w:tcPr>
            <w:tcW w:w="1620" w:type="dxa"/>
            <w:tcBorders>
              <w:top w:val="single" w:color="auto" w:sz="4" w:space="0"/>
              <w:left w:val="single" w:color="auto" w:sz="4" w:space="0"/>
              <w:bottom w:val="single" w:color="auto" w:sz="4" w:space="0"/>
              <w:right w:val="single" w:color="auto" w:sz="4" w:space="0"/>
            </w:tcBorders>
            <w:vAlign w:val="center"/>
          </w:tcPr>
          <w:p w14:paraId="65D1F0B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41</w:t>
            </w:r>
          </w:p>
        </w:tc>
        <w:tc>
          <w:tcPr>
            <w:tcW w:w="1620" w:type="dxa"/>
            <w:tcBorders>
              <w:top w:val="single" w:color="auto" w:sz="4" w:space="0"/>
              <w:left w:val="single" w:color="auto" w:sz="4" w:space="0"/>
              <w:bottom w:val="single" w:color="auto" w:sz="4" w:space="0"/>
              <w:right w:val="single" w:color="auto" w:sz="4" w:space="0"/>
            </w:tcBorders>
            <w:vAlign w:val="center"/>
          </w:tcPr>
          <w:p w14:paraId="420BF5A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24</w:t>
            </w:r>
          </w:p>
        </w:tc>
        <w:tc>
          <w:tcPr>
            <w:tcW w:w="1440" w:type="dxa"/>
            <w:vAlign w:val="center"/>
          </w:tcPr>
          <w:p w14:paraId="5FDC7783">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2</w:t>
            </w:r>
            <w:r>
              <w:rPr>
                <w:rFonts w:ascii="Times New Roman" w:hAnsi="Times New Roman" w:eastAsia="Times New Roman" w:cs="Times New Roman"/>
                <w:sz w:val="20"/>
                <w:szCs w:val="20"/>
              </w:rPr>
              <w:t>6</w:t>
            </w:r>
          </w:p>
        </w:tc>
        <w:tc>
          <w:tcPr>
            <w:tcW w:w="1530" w:type="dxa"/>
          </w:tcPr>
          <w:p w14:paraId="27E1C6FD">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1B9BAF0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w:t>
            </w:r>
          </w:p>
        </w:tc>
      </w:tr>
      <w:tr w14:paraId="6934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25" w:type="dxa"/>
            <w:vMerge w:val="continue"/>
            <w:tcBorders>
              <w:left w:val="single" w:color="auto" w:sz="4" w:space="0"/>
              <w:right w:val="single" w:color="auto" w:sz="4" w:space="0"/>
            </w:tcBorders>
            <w:vAlign w:val="center"/>
          </w:tcPr>
          <w:p w14:paraId="51A6F88F">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tcPr>
          <w:p w14:paraId="0D9A6D0E">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78566329">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710" w:type="dxa"/>
            <w:tcBorders>
              <w:top w:val="single" w:color="auto" w:sz="4" w:space="0"/>
              <w:left w:val="single" w:color="auto" w:sz="4" w:space="0"/>
              <w:bottom w:val="single" w:color="auto" w:sz="4" w:space="0"/>
              <w:right w:val="single" w:color="auto" w:sz="4" w:space="0"/>
            </w:tcBorders>
            <w:vAlign w:val="center"/>
          </w:tcPr>
          <w:p w14:paraId="25271B2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18</w:t>
            </w:r>
          </w:p>
        </w:tc>
        <w:tc>
          <w:tcPr>
            <w:tcW w:w="1620" w:type="dxa"/>
            <w:tcBorders>
              <w:top w:val="single" w:color="auto" w:sz="4" w:space="0"/>
              <w:left w:val="single" w:color="auto" w:sz="4" w:space="0"/>
              <w:bottom w:val="single" w:color="auto" w:sz="4" w:space="0"/>
              <w:right w:val="single" w:color="auto" w:sz="4" w:space="0"/>
            </w:tcBorders>
            <w:vAlign w:val="center"/>
          </w:tcPr>
          <w:p w14:paraId="68485E9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29</w:t>
            </w:r>
          </w:p>
        </w:tc>
        <w:tc>
          <w:tcPr>
            <w:tcW w:w="1620" w:type="dxa"/>
            <w:tcBorders>
              <w:top w:val="single" w:color="auto" w:sz="4" w:space="0"/>
              <w:left w:val="single" w:color="auto" w:sz="4" w:space="0"/>
              <w:bottom w:val="single" w:color="auto" w:sz="4" w:space="0"/>
              <w:right w:val="single" w:color="auto" w:sz="4" w:space="0"/>
            </w:tcBorders>
            <w:vAlign w:val="center"/>
          </w:tcPr>
          <w:p w14:paraId="3B6170A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13</w:t>
            </w:r>
          </w:p>
        </w:tc>
        <w:tc>
          <w:tcPr>
            <w:tcW w:w="1440" w:type="dxa"/>
            <w:vAlign w:val="center"/>
          </w:tcPr>
          <w:p w14:paraId="242C113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1</w:t>
            </w:r>
            <w:r>
              <w:rPr>
                <w:rFonts w:ascii="Times New Roman" w:hAnsi="Times New Roman" w:eastAsia="Times New Roman" w:cs="Times New Roman"/>
                <w:sz w:val="20"/>
                <w:szCs w:val="20"/>
              </w:rPr>
              <w:t>6</w:t>
            </w:r>
          </w:p>
        </w:tc>
        <w:tc>
          <w:tcPr>
            <w:tcW w:w="1530" w:type="dxa"/>
          </w:tcPr>
          <w:p w14:paraId="499DFEB7">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4D419D1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w:t>
            </w:r>
          </w:p>
        </w:tc>
      </w:tr>
      <w:tr w14:paraId="6890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625" w:type="dxa"/>
            <w:vMerge w:val="restart"/>
            <w:tcBorders>
              <w:left w:val="single" w:color="auto" w:sz="4" w:space="0"/>
              <w:right w:val="single" w:color="auto" w:sz="4" w:space="0"/>
            </w:tcBorders>
            <w:vAlign w:val="center"/>
          </w:tcPr>
          <w:p w14:paraId="2BAEEAC4">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restart"/>
            <w:tcBorders>
              <w:left w:val="single" w:color="auto" w:sz="4" w:space="0"/>
              <w:right w:val="single" w:color="auto" w:sz="4" w:space="0"/>
            </w:tcBorders>
          </w:tcPr>
          <w:p w14:paraId="7071369E">
            <w:pPr>
              <w:numPr>
                <w:ilvl w:val="0"/>
                <w:numId w:val="20"/>
              </w:numPr>
              <w:spacing w:after="0" w:line="240" w:lineRule="auto"/>
              <w:rPr>
                <w:rFonts w:ascii="Times New Roman" w:hAnsi="Times New Roman" w:eastAsia="Times New Roman" w:cs="Times New Roman"/>
                <w:sz w:val="20"/>
                <w:szCs w:val="20"/>
              </w:rPr>
            </w:pPr>
            <w:r>
              <w:rPr>
                <w:rFonts w:ascii="Times New Roman" w:hAnsi="Times New Roman" w:eastAsia="Calibri" w:cs="Times New Roman"/>
                <w:b/>
                <w:sz w:val="20"/>
                <w:szCs w:val="20"/>
                <w:lang w:eastAsia="zh-CN" w:bidi="ar"/>
              </w:rPr>
              <w:t>Death Age (65+)</w:t>
            </w:r>
          </w:p>
        </w:tc>
        <w:tc>
          <w:tcPr>
            <w:tcW w:w="2430" w:type="dxa"/>
            <w:tcBorders>
              <w:left w:val="single" w:color="auto" w:sz="4" w:space="0"/>
              <w:right w:val="single" w:color="auto" w:sz="4" w:space="0"/>
            </w:tcBorders>
          </w:tcPr>
          <w:p w14:paraId="42494E4C">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710" w:type="dxa"/>
            <w:tcBorders>
              <w:top w:val="single" w:color="auto" w:sz="4" w:space="0"/>
              <w:left w:val="single" w:color="auto" w:sz="4" w:space="0"/>
              <w:bottom w:val="single" w:color="auto" w:sz="4" w:space="0"/>
              <w:right w:val="single" w:color="auto" w:sz="4" w:space="0"/>
            </w:tcBorders>
            <w:vAlign w:val="center"/>
          </w:tcPr>
          <w:p w14:paraId="114DA00A">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33</w:t>
            </w:r>
          </w:p>
        </w:tc>
        <w:tc>
          <w:tcPr>
            <w:tcW w:w="1620" w:type="dxa"/>
            <w:tcBorders>
              <w:top w:val="single" w:color="auto" w:sz="4" w:space="0"/>
              <w:left w:val="single" w:color="auto" w:sz="4" w:space="0"/>
              <w:bottom w:val="single" w:color="auto" w:sz="4" w:space="0"/>
              <w:right w:val="single" w:color="auto" w:sz="4" w:space="0"/>
            </w:tcBorders>
            <w:vAlign w:val="center"/>
          </w:tcPr>
          <w:p w14:paraId="6A015EB8">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8</w:t>
            </w:r>
          </w:p>
        </w:tc>
        <w:tc>
          <w:tcPr>
            <w:tcW w:w="1620" w:type="dxa"/>
            <w:tcBorders>
              <w:top w:val="single" w:color="auto" w:sz="4" w:space="0"/>
              <w:left w:val="single" w:color="auto" w:sz="4" w:space="0"/>
              <w:bottom w:val="single" w:color="auto" w:sz="4" w:space="0"/>
              <w:right w:val="single" w:color="auto" w:sz="4" w:space="0"/>
            </w:tcBorders>
            <w:vAlign w:val="center"/>
          </w:tcPr>
          <w:p w14:paraId="519BB6CC">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27</w:t>
            </w:r>
          </w:p>
        </w:tc>
        <w:tc>
          <w:tcPr>
            <w:tcW w:w="1440" w:type="dxa"/>
            <w:vAlign w:val="center"/>
          </w:tcPr>
          <w:p w14:paraId="5DC096E9">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en-GB"/>
              </w:rPr>
              <w:t>2</w:t>
            </w:r>
            <w:r>
              <w:rPr>
                <w:rFonts w:ascii="Times New Roman" w:hAnsi="Times New Roman" w:eastAsia="Times New Roman" w:cs="Times New Roman"/>
                <w:b/>
                <w:sz w:val="20"/>
                <w:szCs w:val="20"/>
              </w:rPr>
              <w:t>9</w:t>
            </w:r>
          </w:p>
        </w:tc>
        <w:tc>
          <w:tcPr>
            <w:tcW w:w="1530" w:type="dxa"/>
          </w:tcPr>
          <w:p w14:paraId="406A4A93">
            <w:pPr>
              <w:jc w:val="center"/>
              <w:rPr>
                <w:rFonts w:ascii="Times New Roman" w:hAnsi="Times New Roman" w:cs="Times New Roman"/>
                <w:b/>
                <w:sz w:val="20"/>
                <w:szCs w:val="20"/>
              </w:rPr>
            </w:pPr>
            <w:r>
              <w:rPr>
                <w:rFonts w:ascii="Times New Roman" w:hAnsi="Times New Roman" w:eastAsia="Calibri" w:cs="Times New Roman"/>
                <w:b/>
                <w:bCs/>
                <w:sz w:val="20"/>
                <w:szCs w:val="20"/>
              </w:rPr>
              <w:t>0</w:t>
            </w:r>
          </w:p>
        </w:tc>
        <w:tc>
          <w:tcPr>
            <w:tcW w:w="1620" w:type="dxa"/>
          </w:tcPr>
          <w:p w14:paraId="48BBD2C0">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6</w:t>
            </w:r>
          </w:p>
        </w:tc>
      </w:tr>
      <w:tr w14:paraId="3855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625" w:type="dxa"/>
            <w:vMerge w:val="continue"/>
            <w:tcBorders>
              <w:left w:val="single" w:color="auto" w:sz="4" w:space="0"/>
              <w:right w:val="single" w:color="auto" w:sz="4" w:space="0"/>
            </w:tcBorders>
            <w:vAlign w:val="center"/>
          </w:tcPr>
          <w:p w14:paraId="1C973DEC">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712F55C8">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3FFACBB3">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710" w:type="dxa"/>
            <w:tcBorders>
              <w:top w:val="single" w:color="auto" w:sz="4" w:space="0"/>
              <w:left w:val="single" w:color="auto" w:sz="4" w:space="0"/>
              <w:bottom w:val="single" w:color="auto" w:sz="4" w:space="0"/>
              <w:right w:val="single" w:color="auto" w:sz="4" w:space="0"/>
            </w:tcBorders>
            <w:vAlign w:val="center"/>
          </w:tcPr>
          <w:p w14:paraId="1365573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w:t>
            </w:r>
          </w:p>
        </w:tc>
        <w:tc>
          <w:tcPr>
            <w:tcW w:w="1620" w:type="dxa"/>
            <w:tcBorders>
              <w:top w:val="single" w:color="auto" w:sz="4" w:space="0"/>
              <w:left w:val="single" w:color="auto" w:sz="4" w:space="0"/>
              <w:bottom w:val="single" w:color="auto" w:sz="4" w:space="0"/>
              <w:right w:val="single" w:color="auto" w:sz="4" w:space="0"/>
            </w:tcBorders>
            <w:vAlign w:val="center"/>
          </w:tcPr>
          <w:p w14:paraId="31CE990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w:t>
            </w:r>
          </w:p>
        </w:tc>
        <w:tc>
          <w:tcPr>
            <w:tcW w:w="1620" w:type="dxa"/>
            <w:tcBorders>
              <w:top w:val="single" w:color="auto" w:sz="4" w:space="0"/>
              <w:left w:val="single" w:color="auto" w:sz="4" w:space="0"/>
              <w:bottom w:val="single" w:color="auto" w:sz="4" w:space="0"/>
              <w:right w:val="single" w:color="auto" w:sz="4" w:space="0"/>
            </w:tcBorders>
            <w:vAlign w:val="center"/>
          </w:tcPr>
          <w:p w14:paraId="5DD0FA5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16</w:t>
            </w:r>
          </w:p>
        </w:tc>
        <w:tc>
          <w:tcPr>
            <w:tcW w:w="1440" w:type="dxa"/>
            <w:vAlign w:val="center"/>
          </w:tcPr>
          <w:p w14:paraId="35214EF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16</w:t>
            </w:r>
          </w:p>
        </w:tc>
        <w:tc>
          <w:tcPr>
            <w:tcW w:w="1530" w:type="dxa"/>
          </w:tcPr>
          <w:p w14:paraId="59DF7F19">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6E1BB75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w:t>
            </w:r>
          </w:p>
        </w:tc>
      </w:tr>
      <w:tr w14:paraId="71D8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25" w:type="dxa"/>
            <w:vMerge w:val="continue"/>
            <w:tcBorders>
              <w:left w:val="single" w:color="auto" w:sz="4" w:space="0"/>
              <w:bottom w:val="single" w:color="auto" w:sz="4" w:space="0"/>
              <w:right w:val="single" w:color="auto" w:sz="4" w:space="0"/>
            </w:tcBorders>
            <w:vAlign w:val="center"/>
          </w:tcPr>
          <w:p w14:paraId="4DA519EA">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vAlign w:val="center"/>
          </w:tcPr>
          <w:p w14:paraId="51E00AB6">
            <w:pPr>
              <w:spacing w:after="0" w:line="240" w:lineRule="auto"/>
              <w:rPr>
                <w:rFonts w:ascii="Times New Roman" w:hAnsi="Times New Roman" w:eastAsia="Times New Roman" w:cs="Times New Roman"/>
                <w:sz w:val="20"/>
                <w:szCs w:val="20"/>
              </w:rPr>
            </w:pPr>
          </w:p>
        </w:tc>
        <w:tc>
          <w:tcPr>
            <w:tcW w:w="2430" w:type="dxa"/>
            <w:tcBorders>
              <w:left w:val="single" w:color="auto" w:sz="4" w:space="0"/>
              <w:bottom w:val="single" w:color="auto" w:sz="4" w:space="0"/>
              <w:right w:val="single" w:color="auto" w:sz="4" w:space="0"/>
            </w:tcBorders>
          </w:tcPr>
          <w:p w14:paraId="1B07C6C1">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710" w:type="dxa"/>
            <w:tcBorders>
              <w:top w:val="single" w:color="auto" w:sz="4" w:space="0"/>
              <w:left w:val="single" w:color="auto" w:sz="4" w:space="0"/>
              <w:bottom w:val="single" w:color="auto" w:sz="4" w:space="0"/>
              <w:right w:val="single" w:color="auto" w:sz="4" w:space="0"/>
            </w:tcBorders>
            <w:vAlign w:val="center"/>
          </w:tcPr>
          <w:p w14:paraId="14609D6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19</w:t>
            </w:r>
          </w:p>
        </w:tc>
        <w:tc>
          <w:tcPr>
            <w:tcW w:w="1620" w:type="dxa"/>
            <w:tcBorders>
              <w:top w:val="single" w:color="auto" w:sz="4" w:space="0"/>
              <w:left w:val="single" w:color="auto" w:sz="4" w:space="0"/>
              <w:bottom w:val="single" w:color="auto" w:sz="4" w:space="0"/>
              <w:right w:val="single" w:color="auto" w:sz="4" w:space="0"/>
            </w:tcBorders>
            <w:vAlign w:val="center"/>
          </w:tcPr>
          <w:p w14:paraId="5983303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w:t>
            </w:r>
          </w:p>
        </w:tc>
        <w:tc>
          <w:tcPr>
            <w:tcW w:w="1620" w:type="dxa"/>
            <w:tcBorders>
              <w:top w:val="single" w:color="auto" w:sz="4" w:space="0"/>
              <w:left w:val="single" w:color="auto" w:sz="4" w:space="0"/>
              <w:bottom w:val="single" w:color="auto" w:sz="4" w:space="0"/>
              <w:right w:val="single" w:color="auto" w:sz="4" w:space="0"/>
            </w:tcBorders>
            <w:vAlign w:val="center"/>
          </w:tcPr>
          <w:p w14:paraId="18DE7A5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w:t>
            </w:r>
          </w:p>
        </w:tc>
        <w:tc>
          <w:tcPr>
            <w:tcW w:w="1440" w:type="dxa"/>
            <w:vAlign w:val="center"/>
          </w:tcPr>
          <w:p w14:paraId="2A091256">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29</w:t>
            </w:r>
          </w:p>
        </w:tc>
        <w:tc>
          <w:tcPr>
            <w:tcW w:w="1530" w:type="dxa"/>
          </w:tcPr>
          <w:p w14:paraId="39112AD6">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62A5130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w:t>
            </w:r>
          </w:p>
        </w:tc>
      </w:tr>
      <w:tr w14:paraId="6E77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29F8EA92">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shd w:val="clear" w:color="auto" w:fill="D9D9D9"/>
            <w:vAlign w:val="center"/>
          </w:tcPr>
          <w:p w14:paraId="4D4B9FCE">
            <w:p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
                <w:bCs/>
                <w:sz w:val="20"/>
                <w:szCs w:val="20"/>
                <w:lang w:val="en-GB"/>
              </w:rPr>
              <w:t>Percent of population with sustainable access to safe drinking water sources</w:t>
            </w:r>
            <w:r>
              <w:rPr>
                <w:rFonts w:ascii="Times New Roman" w:hAnsi="Times New Roman" w:eastAsia="Times New Roman" w:cs="Times New Roman"/>
                <w:bCs/>
                <w:sz w:val="20"/>
                <w:szCs w:val="20"/>
                <w:vertAlign w:val="superscript"/>
                <w:lang w:val="en-GB"/>
              </w:rPr>
              <w:footnoteReference w:id="0"/>
            </w:r>
          </w:p>
        </w:tc>
        <w:tc>
          <w:tcPr>
            <w:tcW w:w="2430" w:type="dxa"/>
            <w:tcBorders>
              <w:top w:val="single" w:color="auto" w:sz="4" w:space="0"/>
              <w:left w:val="single" w:color="auto" w:sz="4" w:space="0"/>
              <w:right w:val="single" w:color="auto" w:sz="4" w:space="0"/>
            </w:tcBorders>
            <w:shd w:val="clear" w:color="auto" w:fill="D9D9D9"/>
          </w:tcPr>
          <w:p w14:paraId="693E8796">
            <w:pPr>
              <w:numPr>
                <w:ilvl w:val="0"/>
                <w:numId w:val="21"/>
              </w:num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District</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1EE478F6">
            <w:pPr>
              <w:spacing w:after="0" w:line="240" w:lineRule="auto"/>
              <w:jc w:val="center"/>
              <w:rPr>
                <w:rFonts w:ascii="Times New Roman" w:hAnsi="Times New Roman" w:cs="Times New Roman"/>
                <w:b/>
                <w:sz w:val="20"/>
                <w:szCs w:val="20"/>
                <w:lang w:eastAsia="zh-CN" w:bidi="ar"/>
              </w:rPr>
            </w:pPr>
            <w:r>
              <w:rPr>
                <w:rFonts w:ascii="Times New Roman" w:hAnsi="Times New Roman" w:eastAsia="Times New Roman" w:cs="Times New Roman"/>
                <w:b/>
                <w:sz w:val="20"/>
                <w:szCs w:val="20"/>
              </w:rPr>
              <w:t>95.2%</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E012552">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98%</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D019E38">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bCs/>
                <w:sz w:val="20"/>
                <w:szCs w:val="20"/>
              </w:rPr>
              <w:t>89.73%</w:t>
            </w:r>
          </w:p>
        </w:tc>
        <w:tc>
          <w:tcPr>
            <w:tcW w:w="1440" w:type="dxa"/>
            <w:shd w:val="clear" w:color="auto" w:fill="D8D8D8" w:themeFill="background1" w:themeFillShade="D9"/>
            <w:vAlign w:val="center"/>
          </w:tcPr>
          <w:p w14:paraId="521FA59B">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Calibri" w:cs="Times New Roman"/>
                <w:b/>
                <w:sz w:val="20"/>
                <w:szCs w:val="20"/>
              </w:rPr>
              <w:t>89.96%</w:t>
            </w:r>
          </w:p>
        </w:tc>
        <w:tc>
          <w:tcPr>
            <w:tcW w:w="1530" w:type="dxa"/>
            <w:shd w:val="clear" w:color="auto" w:fill="D9D9D9"/>
          </w:tcPr>
          <w:p w14:paraId="23210E4A">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100%</w:t>
            </w:r>
          </w:p>
        </w:tc>
        <w:tc>
          <w:tcPr>
            <w:tcW w:w="1620" w:type="dxa"/>
            <w:shd w:val="clear" w:color="auto" w:fill="D9D9D9"/>
            <w:vAlign w:val="center"/>
          </w:tcPr>
          <w:p w14:paraId="462E04B3">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Calibri" w:cs="Times New Roman"/>
                <w:b/>
                <w:sz w:val="20"/>
                <w:szCs w:val="20"/>
              </w:rPr>
              <w:t>89.96%</w:t>
            </w:r>
          </w:p>
        </w:tc>
      </w:tr>
      <w:tr w14:paraId="52C0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25" w:type="dxa"/>
            <w:vMerge w:val="continue"/>
            <w:tcBorders>
              <w:left w:val="single" w:color="auto" w:sz="4" w:space="0"/>
              <w:right w:val="single" w:color="auto" w:sz="4" w:space="0"/>
            </w:tcBorders>
            <w:vAlign w:val="center"/>
          </w:tcPr>
          <w:p w14:paraId="6A883E14">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07C26FE4">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494B4383">
            <w:pPr>
              <w:numPr>
                <w:ilvl w:val="0"/>
                <w:numId w:val="21"/>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Urban</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6769CF94">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56.1%</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14D5C8C">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Cs/>
                <w:sz w:val="20"/>
                <w:szCs w:val="20"/>
              </w:rPr>
              <w:t>70.70%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FE4436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40.41%</w:t>
            </w:r>
          </w:p>
        </w:tc>
        <w:tc>
          <w:tcPr>
            <w:tcW w:w="1440" w:type="dxa"/>
            <w:shd w:val="clear" w:color="auto" w:fill="D8D8D8" w:themeFill="background1" w:themeFillShade="D9"/>
            <w:vAlign w:val="center"/>
          </w:tcPr>
          <w:p w14:paraId="22FA600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40.42%</w:t>
            </w:r>
          </w:p>
        </w:tc>
        <w:tc>
          <w:tcPr>
            <w:tcW w:w="1530" w:type="dxa"/>
            <w:shd w:val="clear" w:color="auto" w:fill="D9D9D9"/>
          </w:tcPr>
          <w:p w14:paraId="7A4364A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45%</w:t>
            </w:r>
          </w:p>
        </w:tc>
        <w:tc>
          <w:tcPr>
            <w:tcW w:w="1620" w:type="dxa"/>
            <w:shd w:val="clear" w:color="auto" w:fill="D9D9D9"/>
            <w:vAlign w:val="center"/>
          </w:tcPr>
          <w:p w14:paraId="06785E2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40.42%</w:t>
            </w:r>
          </w:p>
        </w:tc>
      </w:tr>
      <w:tr w14:paraId="0905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25" w:type="dxa"/>
            <w:vMerge w:val="continue"/>
            <w:tcBorders>
              <w:left w:val="single" w:color="auto" w:sz="4" w:space="0"/>
              <w:bottom w:val="single" w:color="auto" w:sz="4" w:space="0"/>
              <w:right w:val="single" w:color="auto" w:sz="4" w:space="0"/>
            </w:tcBorders>
            <w:vAlign w:val="center"/>
          </w:tcPr>
          <w:p w14:paraId="34D91780">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vAlign w:val="center"/>
          </w:tcPr>
          <w:p w14:paraId="076751CF">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bottom w:val="single" w:color="auto" w:sz="4" w:space="0"/>
              <w:right w:val="single" w:color="auto" w:sz="4" w:space="0"/>
            </w:tcBorders>
            <w:shd w:val="clear" w:color="auto" w:fill="D9D9D9"/>
          </w:tcPr>
          <w:p w14:paraId="21BA308B">
            <w:pPr>
              <w:pStyle w:val="24"/>
              <w:numPr>
                <w:ilvl w:val="0"/>
                <w:numId w:val="21"/>
              </w:numPr>
              <w:rPr>
                <w:rFonts w:ascii="Times New Roman" w:hAnsi="Times New Roman" w:cs="Times New Roman"/>
                <w:sz w:val="20"/>
                <w:szCs w:val="20"/>
              </w:rPr>
            </w:pPr>
            <w:r>
              <w:rPr>
                <w:rFonts w:ascii="Times New Roman" w:hAnsi="Times New Roman" w:eastAsia="Times New Roman" w:cs="Times New Roman"/>
                <w:sz w:val="20"/>
                <w:szCs w:val="20"/>
                <w:lang w:val="en-GB"/>
              </w:rPr>
              <w:t>Rural</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7EE4FCC4">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39.1%</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1C1D4DA">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Cs/>
                <w:sz w:val="20"/>
                <w:szCs w:val="20"/>
              </w:rPr>
              <w:t>27.30%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740F8D8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bCs/>
                <w:sz w:val="20"/>
                <w:szCs w:val="20"/>
              </w:rPr>
              <w:t>49.32%</w:t>
            </w:r>
          </w:p>
        </w:tc>
        <w:tc>
          <w:tcPr>
            <w:tcW w:w="1440" w:type="dxa"/>
            <w:shd w:val="clear" w:color="auto" w:fill="D8D8D8" w:themeFill="background1" w:themeFillShade="D9"/>
            <w:vAlign w:val="center"/>
          </w:tcPr>
          <w:p w14:paraId="13B5682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49.54%</w:t>
            </w:r>
          </w:p>
        </w:tc>
        <w:tc>
          <w:tcPr>
            <w:tcW w:w="1530" w:type="dxa"/>
            <w:shd w:val="clear" w:color="auto" w:fill="D9D9D9"/>
          </w:tcPr>
          <w:p w14:paraId="316A9B8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55%</w:t>
            </w:r>
          </w:p>
        </w:tc>
        <w:tc>
          <w:tcPr>
            <w:tcW w:w="1620" w:type="dxa"/>
            <w:shd w:val="clear" w:color="auto" w:fill="D9D9D9"/>
            <w:vAlign w:val="center"/>
          </w:tcPr>
          <w:p w14:paraId="61DD7CA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49.54%</w:t>
            </w:r>
          </w:p>
        </w:tc>
      </w:tr>
      <w:tr w14:paraId="4E44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25" w:type="dxa"/>
            <w:vMerge w:val="restart"/>
            <w:tcBorders>
              <w:top w:val="single" w:color="auto" w:sz="4" w:space="0"/>
              <w:left w:val="single" w:color="auto" w:sz="4" w:space="0"/>
              <w:right w:val="single" w:color="auto" w:sz="4" w:space="0"/>
            </w:tcBorders>
            <w:vAlign w:val="center"/>
          </w:tcPr>
          <w:p w14:paraId="240EBD21">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vAlign w:val="center"/>
          </w:tcPr>
          <w:p w14:paraId="647A7221">
            <w:pPr>
              <w:spacing w:after="0" w:line="240" w:lineRule="auto"/>
              <w:rPr>
                <w:rFonts w:ascii="Times New Roman" w:hAnsi="Times New Roman" w:eastAsia="Times New Roman" w:cs="Times New Roman"/>
                <w:b/>
                <w:bCs/>
                <w:sz w:val="20"/>
                <w:szCs w:val="20"/>
                <w:lang w:val="en-GB"/>
              </w:rPr>
            </w:pPr>
            <w:r>
              <w:rPr>
                <w:rFonts w:ascii="Times New Roman" w:hAnsi="Times New Roman" w:eastAsia="Times New Roman" w:cs="Times New Roman"/>
                <w:b/>
                <w:bCs/>
                <w:sz w:val="20"/>
                <w:szCs w:val="20"/>
                <w:lang w:val="en-GB"/>
              </w:rPr>
              <w:t xml:space="preserve">Proportion of population with access to improved sanitation services </w:t>
            </w:r>
          </w:p>
        </w:tc>
        <w:tc>
          <w:tcPr>
            <w:tcW w:w="2430" w:type="dxa"/>
            <w:tcBorders>
              <w:top w:val="single" w:color="auto" w:sz="4" w:space="0"/>
              <w:left w:val="single" w:color="auto" w:sz="4" w:space="0"/>
              <w:right w:val="single" w:color="auto" w:sz="4" w:space="0"/>
            </w:tcBorders>
          </w:tcPr>
          <w:p w14:paraId="48793F58">
            <w:pPr>
              <w:numPr>
                <w:ilvl w:val="0"/>
                <w:numId w:val="22"/>
              </w:numPr>
              <w:spacing w:after="0" w:line="240" w:lineRule="auto"/>
              <w:rPr>
                <w:rFonts w:ascii="Times New Roman" w:hAnsi="Times New Roman" w:eastAsia="Times New Roman" w:cs="Times New Roman"/>
                <w:b/>
                <w:bCs/>
                <w:sz w:val="20"/>
                <w:szCs w:val="20"/>
                <w:lang w:val="en-GB"/>
              </w:rPr>
            </w:pPr>
            <w:r>
              <w:rPr>
                <w:rFonts w:ascii="Times New Roman" w:hAnsi="Times New Roman" w:eastAsia="Times New Roman" w:cs="Times New Roman"/>
                <w:b/>
                <w:bCs/>
                <w:sz w:val="20"/>
                <w:szCs w:val="20"/>
                <w:lang w:val="en-GB"/>
              </w:rPr>
              <w:t>District</w:t>
            </w:r>
          </w:p>
        </w:tc>
        <w:tc>
          <w:tcPr>
            <w:tcW w:w="1710" w:type="dxa"/>
            <w:tcBorders>
              <w:top w:val="single" w:color="auto" w:sz="4" w:space="0"/>
              <w:left w:val="single" w:color="auto" w:sz="4" w:space="0"/>
              <w:bottom w:val="single" w:color="auto" w:sz="4" w:space="0"/>
              <w:right w:val="single" w:color="auto" w:sz="4" w:space="0"/>
            </w:tcBorders>
            <w:vAlign w:val="center"/>
          </w:tcPr>
          <w:p w14:paraId="6E7FE743">
            <w:pPr>
              <w:spacing w:after="0" w:line="240" w:lineRule="auto"/>
              <w:jc w:val="center"/>
              <w:rPr>
                <w:rFonts w:ascii="Times New Roman" w:hAnsi="Times New Roman" w:cs="Times New Roman"/>
                <w:b/>
                <w:sz w:val="20"/>
                <w:szCs w:val="20"/>
                <w:lang w:eastAsia="zh-CN" w:bidi="ar"/>
              </w:rPr>
            </w:pPr>
            <w:r>
              <w:rPr>
                <w:rFonts w:ascii="Times New Roman" w:hAnsi="Times New Roman" w:eastAsia="Times New Roman" w:cs="Times New Roman"/>
                <w:b/>
                <w:sz w:val="20"/>
                <w:szCs w:val="20"/>
              </w:rPr>
              <w:t>70%</w:t>
            </w:r>
          </w:p>
        </w:tc>
        <w:tc>
          <w:tcPr>
            <w:tcW w:w="1620" w:type="dxa"/>
            <w:tcBorders>
              <w:top w:val="single" w:color="auto" w:sz="4" w:space="0"/>
              <w:left w:val="single" w:color="auto" w:sz="4" w:space="0"/>
              <w:bottom w:val="single" w:color="auto" w:sz="4" w:space="0"/>
              <w:right w:val="single" w:color="auto" w:sz="4" w:space="0"/>
            </w:tcBorders>
            <w:vAlign w:val="center"/>
          </w:tcPr>
          <w:p w14:paraId="3BD7DC71">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29.58%</w:t>
            </w:r>
          </w:p>
        </w:tc>
        <w:tc>
          <w:tcPr>
            <w:tcW w:w="1620" w:type="dxa"/>
            <w:tcBorders>
              <w:top w:val="single" w:color="auto" w:sz="4" w:space="0"/>
              <w:left w:val="single" w:color="auto" w:sz="4" w:space="0"/>
              <w:bottom w:val="single" w:color="auto" w:sz="4" w:space="0"/>
              <w:right w:val="single" w:color="auto" w:sz="4" w:space="0"/>
            </w:tcBorders>
            <w:vAlign w:val="center"/>
          </w:tcPr>
          <w:p w14:paraId="6330B27E">
            <w:pPr>
              <w:spacing w:after="0" w:line="240" w:lineRule="auto"/>
              <w:jc w:val="center"/>
              <w:rPr>
                <w:rFonts w:ascii="Times New Roman" w:hAnsi="Times New Roman" w:cs="Times New Roman"/>
                <w:b/>
                <w:sz w:val="20"/>
                <w:szCs w:val="20"/>
                <w:lang w:eastAsia="zh-CN" w:bidi="ar"/>
              </w:rPr>
            </w:pPr>
            <w:r>
              <w:rPr>
                <w:rFonts w:ascii="Times New Roman" w:hAnsi="Times New Roman" w:eastAsia="Times New Roman" w:cs="Times New Roman"/>
                <w:b/>
                <w:sz w:val="20"/>
                <w:szCs w:val="20"/>
              </w:rPr>
              <w:t>34.17%</w:t>
            </w:r>
          </w:p>
        </w:tc>
        <w:tc>
          <w:tcPr>
            <w:tcW w:w="1440" w:type="dxa"/>
            <w:vAlign w:val="center"/>
          </w:tcPr>
          <w:p w14:paraId="5E3C64A3">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Calibri" w:cs="Times New Roman"/>
                <w:b/>
                <w:sz w:val="20"/>
                <w:szCs w:val="20"/>
              </w:rPr>
              <w:t>3.45%</w:t>
            </w:r>
          </w:p>
        </w:tc>
        <w:tc>
          <w:tcPr>
            <w:tcW w:w="1530" w:type="dxa"/>
          </w:tcPr>
          <w:p w14:paraId="4DEDAB63">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100%</w:t>
            </w:r>
          </w:p>
        </w:tc>
        <w:tc>
          <w:tcPr>
            <w:tcW w:w="1620" w:type="dxa"/>
          </w:tcPr>
          <w:p w14:paraId="31D4DD91">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84%</w:t>
            </w:r>
          </w:p>
        </w:tc>
      </w:tr>
      <w:tr w14:paraId="0765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25" w:type="dxa"/>
            <w:vMerge w:val="continue"/>
            <w:tcBorders>
              <w:left w:val="single" w:color="auto" w:sz="4" w:space="0"/>
              <w:right w:val="single" w:color="auto" w:sz="4" w:space="0"/>
            </w:tcBorders>
            <w:vAlign w:val="center"/>
          </w:tcPr>
          <w:p w14:paraId="407A7F14">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3669ED92">
            <w:pPr>
              <w:spacing w:after="0" w:line="240" w:lineRule="auto"/>
              <w:rPr>
                <w:rFonts w:ascii="Times New Roman" w:hAnsi="Times New Roman" w:eastAsia="Times New Roman" w:cs="Times New Roman"/>
                <w:bCs/>
                <w:sz w:val="20"/>
                <w:szCs w:val="20"/>
                <w:lang w:val="en-GB"/>
              </w:rPr>
            </w:pPr>
          </w:p>
        </w:tc>
        <w:tc>
          <w:tcPr>
            <w:tcW w:w="2430" w:type="dxa"/>
            <w:tcBorders>
              <w:left w:val="single" w:color="auto" w:sz="4" w:space="0"/>
              <w:right w:val="single" w:color="auto" w:sz="4" w:space="0"/>
            </w:tcBorders>
          </w:tcPr>
          <w:p w14:paraId="18CBC293">
            <w:pPr>
              <w:numPr>
                <w:ilvl w:val="0"/>
                <w:numId w:val="22"/>
              </w:num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Cs/>
                <w:sz w:val="20"/>
                <w:szCs w:val="20"/>
                <w:lang w:val="en-GB"/>
              </w:rPr>
              <w:t>Urban</w:t>
            </w:r>
          </w:p>
        </w:tc>
        <w:tc>
          <w:tcPr>
            <w:tcW w:w="1710" w:type="dxa"/>
            <w:tcBorders>
              <w:top w:val="single" w:color="auto" w:sz="4" w:space="0"/>
              <w:left w:val="single" w:color="auto" w:sz="4" w:space="0"/>
              <w:bottom w:val="single" w:color="auto" w:sz="4" w:space="0"/>
              <w:right w:val="single" w:color="auto" w:sz="4" w:space="0"/>
            </w:tcBorders>
            <w:vAlign w:val="center"/>
          </w:tcPr>
          <w:p w14:paraId="5BF42E48">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42%</w:t>
            </w:r>
          </w:p>
        </w:tc>
        <w:tc>
          <w:tcPr>
            <w:tcW w:w="1620" w:type="dxa"/>
            <w:tcBorders>
              <w:top w:val="single" w:color="auto" w:sz="4" w:space="0"/>
              <w:left w:val="single" w:color="auto" w:sz="4" w:space="0"/>
              <w:bottom w:val="single" w:color="auto" w:sz="4" w:space="0"/>
              <w:right w:val="single" w:color="auto" w:sz="4" w:space="0"/>
            </w:tcBorders>
            <w:vAlign w:val="center"/>
          </w:tcPr>
          <w:p w14:paraId="41A078CB">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11.25</w:t>
            </w:r>
          </w:p>
        </w:tc>
        <w:tc>
          <w:tcPr>
            <w:tcW w:w="1620" w:type="dxa"/>
            <w:tcBorders>
              <w:top w:val="single" w:color="auto" w:sz="4" w:space="0"/>
              <w:left w:val="single" w:color="auto" w:sz="4" w:space="0"/>
              <w:bottom w:val="single" w:color="auto" w:sz="4" w:space="0"/>
              <w:right w:val="single" w:color="auto" w:sz="4" w:space="0"/>
            </w:tcBorders>
            <w:vAlign w:val="center"/>
          </w:tcPr>
          <w:p w14:paraId="4446C828">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bCs/>
                <w:sz w:val="20"/>
                <w:szCs w:val="20"/>
              </w:rPr>
              <w:t>13.40</w:t>
            </w:r>
          </w:p>
        </w:tc>
        <w:tc>
          <w:tcPr>
            <w:tcW w:w="1440" w:type="dxa"/>
            <w:vAlign w:val="center"/>
          </w:tcPr>
          <w:p w14:paraId="6A797A2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0.80%</w:t>
            </w:r>
          </w:p>
        </w:tc>
        <w:tc>
          <w:tcPr>
            <w:tcW w:w="1530" w:type="dxa"/>
          </w:tcPr>
          <w:p w14:paraId="514FF8E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60%</w:t>
            </w:r>
          </w:p>
        </w:tc>
        <w:tc>
          <w:tcPr>
            <w:tcW w:w="1620" w:type="dxa"/>
          </w:tcPr>
          <w:p w14:paraId="040D258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42%</w:t>
            </w:r>
          </w:p>
        </w:tc>
      </w:tr>
      <w:tr w14:paraId="6D10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25" w:type="dxa"/>
            <w:vMerge w:val="continue"/>
            <w:tcBorders>
              <w:left w:val="single" w:color="auto" w:sz="4" w:space="0"/>
              <w:bottom w:val="single" w:color="auto" w:sz="4" w:space="0"/>
              <w:right w:val="single" w:color="auto" w:sz="4" w:space="0"/>
            </w:tcBorders>
            <w:vAlign w:val="center"/>
          </w:tcPr>
          <w:p w14:paraId="6D6681A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vAlign w:val="center"/>
          </w:tcPr>
          <w:p w14:paraId="1087DFB9">
            <w:pPr>
              <w:spacing w:after="0" w:line="240" w:lineRule="auto"/>
              <w:rPr>
                <w:rFonts w:ascii="Times New Roman" w:hAnsi="Times New Roman" w:eastAsia="Times New Roman" w:cs="Times New Roman"/>
                <w:bCs/>
                <w:sz w:val="20"/>
                <w:szCs w:val="20"/>
                <w:lang w:val="en-GB"/>
              </w:rPr>
            </w:pPr>
          </w:p>
        </w:tc>
        <w:tc>
          <w:tcPr>
            <w:tcW w:w="2430" w:type="dxa"/>
            <w:tcBorders>
              <w:left w:val="single" w:color="auto" w:sz="4" w:space="0"/>
              <w:bottom w:val="single" w:color="auto" w:sz="4" w:space="0"/>
              <w:right w:val="single" w:color="auto" w:sz="4" w:space="0"/>
            </w:tcBorders>
          </w:tcPr>
          <w:p w14:paraId="479E74C7">
            <w:pPr>
              <w:pStyle w:val="24"/>
              <w:numPr>
                <w:ilvl w:val="0"/>
                <w:numId w:val="22"/>
              </w:numPr>
              <w:rPr>
                <w:rFonts w:ascii="Times New Roman" w:hAnsi="Times New Roman" w:cs="Times New Roman"/>
                <w:sz w:val="20"/>
                <w:szCs w:val="20"/>
              </w:rPr>
            </w:pPr>
            <w:r>
              <w:rPr>
                <w:rFonts w:ascii="Times New Roman" w:hAnsi="Times New Roman" w:eastAsia="Times New Roman" w:cs="Times New Roman"/>
                <w:bCs/>
                <w:sz w:val="20"/>
                <w:szCs w:val="20"/>
                <w:lang w:val="en-GB"/>
              </w:rPr>
              <w:t>Rural</w:t>
            </w:r>
          </w:p>
        </w:tc>
        <w:tc>
          <w:tcPr>
            <w:tcW w:w="1710" w:type="dxa"/>
            <w:tcBorders>
              <w:top w:val="single" w:color="auto" w:sz="4" w:space="0"/>
              <w:left w:val="single" w:color="auto" w:sz="4" w:space="0"/>
              <w:bottom w:val="single" w:color="auto" w:sz="4" w:space="0"/>
              <w:right w:val="single" w:color="auto" w:sz="4" w:space="0"/>
            </w:tcBorders>
            <w:vAlign w:val="center"/>
          </w:tcPr>
          <w:p w14:paraId="24F2D574">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28%</w:t>
            </w:r>
          </w:p>
        </w:tc>
        <w:tc>
          <w:tcPr>
            <w:tcW w:w="1620" w:type="dxa"/>
            <w:tcBorders>
              <w:top w:val="single" w:color="auto" w:sz="4" w:space="0"/>
              <w:left w:val="single" w:color="auto" w:sz="4" w:space="0"/>
              <w:bottom w:val="single" w:color="auto" w:sz="4" w:space="0"/>
              <w:right w:val="single" w:color="auto" w:sz="4" w:space="0"/>
            </w:tcBorders>
            <w:vAlign w:val="center"/>
          </w:tcPr>
          <w:p w14:paraId="12F390D8">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18.33</w:t>
            </w:r>
          </w:p>
        </w:tc>
        <w:tc>
          <w:tcPr>
            <w:tcW w:w="1620" w:type="dxa"/>
            <w:tcBorders>
              <w:top w:val="single" w:color="auto" w:sz="4" w:space="0"/>
              <w:left w:val="single" w:color="auto" w:sz="4" w:space="0"/>
              <w:bottom w:val="single" w:color="auto" w:sz="4" w:space="0"/>
              <w:right w:val="single" w:color="auto" w:sz="4" w:space="0"/>
            </w:tcBorders>
            <w:vAlign w:val="center"/>
          </w:tcPr>
          <w:p w14:paraId="25086FCF">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bCs/>
                <w:sz w:val="20"/>
                <w:szCs w:val="20"/>
              </w:rPr>
              <w:t>20.77</w:t>
            </w:r>
          </w:p>
        </w:tc>
        <w:tc>
          <w:tcPr>
            <w:tcW w:w="1440" w:type="dxa"/>
            <w:vAlign w:val="center"/>
          </w:tcPr>
          <w:p w14:paraId="4FB61AA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2.60s%</w:t>
            </w:r>
          </w:p>
        </w:tc>
        <w:tc>
          <w:tcPr>
            <w:tcW w:w="1530" w:type="dxa"/>
          </w:tcPr>
          <w:p w14:paraId="1829A3A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40%</w:t>
            </w:r>
          </w:p>
        </w:tc>
        <w:tc>
          <w:tcPr>
            <w:tcW w:w="1620" w:type="dxa"/>
          </w:tcPr>
          <w:p w14:paraId="10782AD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42%</w:t>
            </w:r>
          </w:p>
        </w:tc>
      </w:tr>
      <w:tr w14:paraId="6902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625" w:type="dxa"/>
            <w:vMerge w:val="restart"/>
            <w:tcBorders>
              <w:top w:val="single" w:color="auto" w:sz="4" w:space="0"/>
              <w:left w:val="single" w:color="auto" w:sz="4" w:space="0"/>
              <w:right w:val="single" w:color="auto" w:sz="4" w:space="0"/>
            </w:tcBorders>
            <w:vAlign w:val="center"/>
          </w:tcPr>
          <w:p w14:paraId="246EB3BD">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vAlign w:val="center"/>
          </w:tcPr>
          <w:p w14:paraId="45F2158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b/>
                <w:sz w:val="20"/>
                <w:szCs w:val="20"/>
              </w:rPr>
              <w:t>Recorded cases of child abuse</w:t>
            </w:r>
          </w:p>
        </w:tc>
        <w:tc>
          <w:tcPr>
            <w:tcW w:w="2430" w:type="dxa"/>
            <w:tcBorders>
              <w:top w:val="single" w:color="auto" w:sz="4" w:space="0"/>
              <w:left w:val="single" w:color="auto" w:sz="4" w:space="0"/>
              <w:right w:val="single" w:color="auto" w:sz="4" w:space="0"/>
            </w:tcBorders>
          </w:tcPr>
          <w:p w14:paraId="7330BAE6">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Child trafficking, </w:t>
            </w:r>
          </w:p>
        </w:tc>
        <w:tc>
          <w:tcPr>
            <w:tcW w:w="1710" w:type="dxa"/>
            <w:tcBorders>
              <w:top w:val="single" w:color="auto" w:sz="4" w:space="0"/>
              <w:left w:val="single" w:color="auto" w:sz="4" w:space="0"/>
              <w:bottom w:val="single" w:color="auto" w:sz="4" w:space="0"/>
              <w:right w:val="single" w:color="auto" w:sz="4" w:space="0"/>
            </w:tcBorders>
            <w:vAlign w:val="center"/>
          </w:tcPr>
          <w:p w14:paraId="2F7F081C">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3766EC12">
            <w:pPr>
              <w:spacing w:after="0" w:line="240" w:lineRule="auto"/>
              <w:jc w:val="center"/>
              <w:rPr>
                <w:rFonts w:ascii="Times New Roman" w:hAnsi="Times New Roman" w:eastAsia="Times New Roman" w:cs="Times New Roman"/>
                <w:b/>
                <w:bCs/>
                <w:sz w:val="20"/>
                <w:szCs w:val="20"/>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027B367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4BE581D2">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0</w:t>
            </w:r>
          </w:p>
        </w:tc>
        <w:tc>
          <w:tcPr>
            <w:tcW w:w="1530" w:type="dxa"/>
          </w:tcPr>
          <w:p w14:paraId="3EB2222B">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52D5A40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3228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625" w:type="dxa"/>
            <w:vMerge w:val="continue"/>
            <w:tcBorders>
              <w:left w:val="single" w:color="auto" w:sz="4" w:space="0"/>
              <w:right w:val="single" w:color="auto" w:sz="4" w:space="0"/>
            </w:tcBorders>
            <w:vAlign w:val="center"/>
          </w:tcPr>
          <w:p w14:paraId="2C8BB89A">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0735B30E">
            <w:pPr>
              <w:spacing w:after="0" w:line="240" w:lineRule="auto"/>
              <w:rPr>
                <w:rFonts w:ascii="Times New Roman" w:hAnsi="Times New Roman" w:eastAsia="Times New Roman" w:cs="Times New Roman"/>
                <w:b/>
                <w:sz w:val="20"/>
                <w:szCs w:val="20"/>
              </w:rPr>
            </w:pPr>
          </w:p>
        </w:tc>
        <w:tc>
          <w:tcPr>
            <w:tcW w:w="2430" w:type="dxa"/>
            <w:tcBorders>
              <w:left w:val="single" w:color="auto" w:sz="4" w:space="0"/>
              <w:right w:val="single" w:color="auto" w:sz="4" w:space="0"/>
            </w:tcBorders>
          </w:tcPr>
          <w:p w14:paraId="3222E206">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child labour, </w:t>
            </w:r>
          </w:p>
        </w:tc>
        <w:tc>
          <w:tcPr>
            <w:tcW w:w="1710" w:type="dxa"/>
            <w:tcBorders>
              <w:top w:val="single" w:color="auto" w:sz="4" w:space="0"/>
              <w:left w:val="single" w:color="auto" w:sz="4" w:space="0"/>
              <w:bottom w:val="single" w:color="auto" w:sz="4" w:space="0"/>
              <w:right w:val="single" w:color="auto" w:sz="4" w:space="0"/>
            </w:tcBorders>
            <w:vAlign w:val="center"/>
          </w:tcPr>
          <w:p w14:paraId="7F45D405">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34E3CDD6">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16</w:t>
            </w:r>
          </w:p>
        </w:tc>
        <w:tc>
          <w:tcPr>
            <w:tcW w:w="1620" w:type="dxa"/>
            <w:tcBorders>
              <w:top w:val="single" w:color="auto" w:sz="4" w:space="0"/>
              <w:left w:val="single" w:color="auto" w:sz="4" w:space="0"/>
              <w:bottom w:val="single" w:color="auto" w:sz="4" w:space="0"/>
              <w:right w:val="single" w:color="auto" w:sz="4" w:space="0"/>
            </w:tcBorders>
            <w:vAlign w:val="center"/>
          </w:tcPr>
          <w:p w14:paraId="225C54B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4B2A1538">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269</w:t>
            </w:r>
          </w:p>
        </w:tc>
        <w:tc>
          <w:tcPr>
            <w:tcW w:w="1530" w:type="dxa"/>
          </w:tcPr>
          <w:p w14:paraId="287CD60B">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582C2F8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3C18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25" w:type="dxa"/>
            <w:vMerge w:val="continue"/>
            <w:tcBorders>
              <w:left w:val="single" w:color="auto" w:sz="4" w:space="0"/>
              <w:right w:val="single" w:color="auto" w:sz="4" w:space="0"/>
            </w:tcBorders>
            <w:vAlign w:val="center"/>
          </w:tcPr>
          <w:p w14:paraId="445916C8">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28CBCA0E">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2D1334EF">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sexual abuse, </w:t>
            </w:r>
          </w:p>
        </w:tc>
        <w:tc>
          <w:tcPr>
            <w:tcW w:w="1710" w:type="dxa"/>
            <w:tcBorders>
              <w:top w:val="single" w:color="auto" w:sz="4" w:space="0"/>
              <w:left w:val="single" w:color="auto" w:sz="4" w:space="0"/>
              <w:bottom w:val="single" w:color="auto" w:sz="4" w:space="0"/>
              <w:right w:val="single" w:color="auto" w:sz="4" w:space="0"/>
            </w:tcBorders>
            <w:vAlign w:val="center"/>
          </w:tcPr>
          <w:p w14:paraId="54E270FE">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0E1594A5">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6CF445A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7220C49F">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0</w:t>
            </w:r>
          </w:p>
        </w:tc>
        <w:tc>
          <w:tcPr>
            <w:tcW w:w="1530" w:type="dxa"/>
          </w:tcPr>
          <w:p w14:paraId="6E24075D">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773B618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3AD1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625" w:type="dxa"/>
            <w:vMerge w:val="continue"/>
            <w:tcBorders>
              <w:left w:val="single" w:color="auto" w:sz="4" w:space="0"/>
              <w:right w:val="single" w:color="auto" w:sz="4" w:space="0"/>
            </w:tcBorders>
            <w:vAlign w:val="center"/>
          </w:tcPr>
          <w:p w14:paraId="1B9623A4">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69E20F5C">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207432E3">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emotional abuse</w:t>
            </w:r>
          </w:p>
        </w:tc>
        <w:tc>
          <w:tcPr>
            <w:tcW w:w="1710" w:type="dxa"/>
            <w:tcBorders>
              <w:top w:val="single" w:color="auto" w:sz="4" w:space="0"/>
              <w:left w:val="single" w:color="auto" w:sz="4" w:space="0"/>
              <w:bottom w:val="single" w:color="auto" w:sz="4" w:space="0"/>
              <w:right w:val="single" w:color="auto" w:sz="4" w:space="0"/>
            </w:tcBorders>
            <w:vAlign w:val="center"/>
          </w:tcPr>
          <w:p w14:paraId="24D0E89C">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7D7880B6">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8</w:t>
            </w:r>
          </w:p>
        </w:tc>
        <w:tc>
          <w:tcPr>
            <w:tcW w:w="1620" w:type="dxa"/>
            <w:tcBorders>
              <w:top w:val="single" w:color="auto" w:sz="4" w:space="0"/>
              <w:left w:val="single" w:color="auto" w:sz="4" w:space="0"/>
              <w:bottom w:val="single" w:color="auto" w:sz="4" w:space="0"/>
              <w:right w:val="single" w:color="auto" w:sz="4" w:space="0"/>
            </w:tcBorders>
            <w:vAlign w:val="center"/>
          </w:tcPr>
          <w:p w14:paraId="12EEB05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w:t>
            </w:r>
          </w:p>
        </w:tc>
        <w:tc>
          <w:tcPr>
            <w:tcW w:w="1440" w:type="dxa"/>
            <w:vAlign w:val="center"/>
          </w:tcPr>
          <w:p w14:paraId="69F0CF80">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12</w:t>
            </w:r>
          </w:p>
        </w:tc>
        <w:tc>
          <w:tcPr>
            <w:tcW w:w="1530" w:type="dxa"/>
          </w:tcPr>
          <w:p w14:paraId="56555B08">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2392339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r>
      <w:tr w14:paraId="19F4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25" w:type="dxa"/>
            <w:vMerge w:val="continue"/>
            <w:tcBorders>
              <w:left w:val="single" w:color="auto" w:sz="4" w:space="0"/>
              <w:right w:val="single" w:color="auto" w:sz="4" w:space="0"/>
            </w:tcBorders>
            <w:vAlign w:val="center"/>
          </w:tcPr>
          <w:p w14:paraId="0C00E213">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18ED9ED0">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6EF255F8">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neglect.</w:t>
            </w:r>
          </w:p>
        </w:tc>
        <w:tc>
          <w:tcPr>
            <w:tcW w:w="1710" w:type="dxa"/>
            <w:tcBorders>
              <w:top w:val="single" w:color="auto" w:sz="4" w:space="0"/>
              <w:left w:val="single" w:color="auto" w:sz="4" w:space="0"/>
              <w:bottom w:val="single" w:color="auto" w:sz="4" w:space="0"/>
              <w:right w:val="single" w:color="auto" w:sz="4" w:space="0"/>
            </w:tcBorders>
            <w:vAlign w:val="center"/>
          </w:tcPr>
          <w:p w14:paraId="61D90513">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2</w:t>
            </w:r>
          </w:p>
        </w:tc>
        <w:tc>
          <w:tcPr>
            <w:tcW w:w="1620" w:type="dxa"/>
            <w:tcBorders>
              <w:top w:val="single" w:color="auto" w:sz="4" w:space="0"/>
              <w:left w:val="single" w:color="auto" w:sz="4" w:space="0"/>
              <w:bottom w:val="single" w:color="auto" w:sz="4" w:space="0"/>
              <w:right w:val="single" w:color="auto" w:sz="4" w:space="0"/>
            </w:tcBorders>
            <w:vAlign w:val="center"/>
          </w:tcPr>
          <w:p w14:paraId="5DA49F04">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w:t>
            </w:r>
          </w:p>
        </w:tc>
        <w:tc>
          <w:tcPr>
            <w:tcW w:w="1620" w:type="dxa"/>
            <w:tcBorders>
              <w:top w:val="single" w:color="auto" w:sz="4" w:space="0"/>
              <w:left w:val="single" w:color="auto" w:sz="4" w:space="0"/>
              <w:bottom w:val="single" w:color="auto" w:sz="4" w:space="0"/>
              <w:right w:val="single" w:color="auto" w:sz="4" w:space="0"/>
            </w:tcBorders>
            <w:vAlign w:val="center"/>
          </w:tcPr>
          <w:p w14:paraId="0F7532A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1E23D342">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2</w:t>
            </w:r>
          </w:p>
        </w:tc>
        <w:tc>
          <w:tcPr>
            <w:tcW w:w="1530" w:type="dxa"/>
          </w:tcPr>
          <w:p w14:paraId="5F6C481E">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5817892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73C1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625" w:type="dxa"/>
            <w:vMerge w:val="continue"/>
            <w:tcBorders>
              <w:left w:val="single" w:color="auto" w:sz="4" w:space="0"/>
              <w:right w:val="single" w:color="auto" w:sz="4" w:space="0"/>
            </w:tcBorders>
            <w:vAlign w:val="center"/>
          </w:tcPr>
          <w:p w14:paraId="57257E06">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54607E00">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14CEAD54">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early marriage</w:t>
            </w:r>
          </w:p>
        </w:tc>
        <w:tc>
          <w:tcPr>
            <w:tcW w:w="1710" w:type="dxa"/>
            <w:tcBorders>
              <w:top w:val="single" w:color="auto" w:sz="4" w:space="0"/>
              <w:left w:val="single" w:color="auto" w:sz="4" w:space="0"/>
              <w:bottom w:val="single" w:color="auto" w:sz="4" w:space="0"/>
              <w:right w:val="single" w:color="auto" w:sz="4" w:space="0"/>
            </w:tcBorders>
            <w:vAlign w:val="center"/>
          </w:tcPr>
          <w:p w14:paraId="57DC357F">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35FD3C01">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4EF3B74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76CBBCA4">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1</w:t>
            </w:r>
          </w:p>
        </w:tc>
        <w:tc>
          <w:tcPr>
            <w:tcW w:w="1530" w:type="dxa"/>
          </w:tcPr>
          <w:p w14:paraId="0110DE36">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7F29703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235A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tcBorders>
              <w:left w:val="single" w:color="auto" w:sz="4" w:space="0"/>
              <w:right w:val="single" w:color="auto" w:sz="4" w:space="0"/>
            </w:tcBorders>
            <w:vAlign w:val="center"/>
          </w:tcPr>
          <w:p w14:paraId="7378259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63461ACB">
            <w:pPr>
              <w:spacing w:after="0" w:line="240" w:lineRule="auto"/>
              <w:rPr>
                <w:rFonts w:ascii="Times New Roman" w:hAnsi="Times New Roman" w:eastAsia="Times New Roman" w:cs="Times New Roman"/>
                <w:sz w:val="20"/>
                <w:szCs w:val="20"/>
              </w:rPr>
            </w:pPr>
          </w:p>
        </w:tc>
        <w:tc>
          <w:tcPr>
            <w:tcW w:w="2430" w:type="dxa"/>
            <w:tcBorders>
              <w:left w:val="single" w:color="auto" w:sz="4" w:space="0"/>
              <w:right w:val="single" w:color="auto" w:sz="4" w:space="0"/>
            </w:tcBorders>
          </w:tcPr>
          <w:p w14:paraId="137EC5F9">
            <w:pPr>
              <w:numPr>
                <w:ilvl w:val="0"/>
                <w:numId w:val="23"/>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female genital mutilation</w:t>
            </w:r>
          </w:p>
        </w:tc>
        <w:tc>
          <w:tcPr>
            <w:tcW w:w="1710" w:type="dxa"/>
            <w:tcBorders>
              <w:top w:val="single" w:color="auto" w:sz="4" w:space="0"/>
              <w:left w:val="single" w:color="auto" w:sz="4" w:space="0"/>
              <w:bottom w:val="single" w:color="auto" w:sz="4" w:space="0"/>
              <w:right w:val="single" w:color="auto" w:sz="4" w:space="0"/>
            </w:tcBorders>
            <w:vAlign w:val="center"/>
          </w:tcPr>
          <w:p w14:paraId="017DAE56">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4D95DAA7">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0</w:t>
            </w:r>
          </w:p>
        </w:tc>
        <w:tc>
          <w:tcPr>
            <w:tcW w:w="1620" w:type="dxa"/>
            <w:tcBorders>
              <w:top w:val="single" w:color="auto" w:sz="4" w:space="0"/>
              <w:left w:val="single" w:color="auto" w:sz="4" w:space="0"/>
              <w:bottom w:val="single" w:color="auto" w:sz="4" w:space="0"/>
              <w:right w:val="single" w:color="auto" w:sz="4" w:space="0"/>
            </w:tcBorders>
            <w:vAlign w:val="center"/>
          </w:tcPr>
          <w:p w14:paraId="08F2287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4D071C78">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0</w:t>
            </w:r>
          </w:p>
        </w:tc>
        <w:tc>
          <w:tcPr>
            <w:tcW w:w="1530" w:type="dxa"/>
          </w:tcPr>
          <w:p w14:paraId="24DC0D20">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28F03CD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12AE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25" w:type="dxa"/>
            <w:vMerge w:val="continue"/>
            <w:tcBorders>
              <w:left w:val="single" w:color="auto" w:sz="4" w:space="0"/>
              <w:bottom w:val="single" w:color="auto" w:sz="4" w:space="0"/>
              <w:right w:val="single" w:color="auto" w:sz="4" w:space="0"/>
            </w:tcBorders>
            <w:vAlign w:val="center"/>
          </w:tcPr>
          <w:p w14:paraId="5495DA66">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vAlign w:val="center"/>
          </w:tcPr>
          <w:p w14:paraId="13E860E3">
            <w:pPr>
              <w:spacing w:after="0" w:line="240" w:lineRule="auto"/>
              <w:rPr>
                <w:rFonts w:ascii="Times New Roman" w:hAnsi="Times New Roman" w:eastAsia="Times New Roman" w:cs="Times New Roman"/>
                <w:sz w:val="20"/>
                <w:szCs w:val="20"/>
              </w:rPr>
            </w:pPr>
          </w:p>
        </w:tc>
        <w:tc>
          <w:tcPr>
            <w:tcW w:w="2430" w:type="dxa"/>
            <w:tcBorders>
              <w:left w:val="single" w:color="auto" w:sz="4" w:space="0"/>
              <w:bottom w:val="single" w:color="auto" w:sz="4" w:space="0"/>
              <w:right w:val="single" w:color="auto" w:sz="4" w:space="0"/>
            </w:tcBorders>
          </w:tcPr>
          <w:p w14:paraId="54D9922C">
            <w:pPr>
              <w:rPr>
                <w:rFonts w:ascii="Times New Roman" w:hAnsi="Times New Roman" w:cs="Times New Roman"/>
                <w:sz w:val="20"/>
                <w:szCs w:val="20"/>
              </w:rPr>
            </w:pPr>
            <w:r>
              <w:rPr>
                <w:rFonts w:ascii="Times New Roman" w:hAnsi="Times New Roman" w:eastAsia="Times New Roman" w:cs="Times New Roman"/>
                <w:sz w:val="20"/>
                <w:szCs w:val="20"/>
              </w:rPr>
              <w:t>family-child separation</w:t>
            </w:r>
          </w:p>
        </w:tc>
        <w:tc>
          <w:tcPr>
            <w:tcW w:w="1710" w:type="dxa"/>
            <w:tcBorders>
              <w:top w:val="single" w:color="auto" w:sz="4" w:space="0"/>
              <w:left w:val="single" w:color="auto" w:sz="4" w:space="0"/>
              <w:bottom w:val="single" w:color="auto" w:sz="4" w:space="0"/>
              <w:right w:val="single" w:color="auto" w:sz="4" w:space="0"/>
            </w:tcBorders>
            <w:vAlign w:val="center"/>
          </w:tcPr>
          <w:p w14:paraId="39C9742E">
            <w:pPr>
              <w:spacing w:after="0" w:line="240" w:lineRule="auto"/>
              <w:jc w:val="center"/>
              <w:rPr>
                <w:rFonts w:ascii="Times New Roman" w:hAnsi="Times New Roman" w:cs="Times New Roman"/>
                <w:sz w:val="20"/>
                <w:szCs w:val="20"/>
                <w:lang w:eastAsia="zh-CN" w:bidi="ar"/>
              </w:rPr>
            </w:pPr>
            <w:r>
              <w:rPr>
                <w:rFonts w:ascii="Times New Roman" w:hAnsi="Times New Roman" w:eastAsia="Calibri" w:cs="Times New Roman"/>
                <w:sz w:val="20"/>
                <w:szCs w:val="20"/>
              </w:rPr>
              <w:t>4</w:t>
            </w:r>
          </w:p>
        </w:tc>
        <w:tc>
          <w:tcPr>
            <w:tcW w:w="1620" w:type="dxa"/>
            <w:tcBorders>
              <w:top w:val="single" w:color="auto" w:sz="4" w:space="0"/>
              <w:left w:val="single" w:color="auto" w:sz="4" w:space="0"/>
              <w:bottom w:val="single" w:color="auto" w:sz="4" w:space="0"/>
              <w:right w:val="single" w:color="auto" w:sz="4" w:space="0"/>
            </w:tcBorders>
            <w:vAlign w:val="center"/>
          </w:tcPr>
          <w:p w14:paraId="007AEC85">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8</w:t>
            </w:r>
          </w:p>
        </w:tc>
        <w:tc>
          <w:tcPr>
            <w:tcW w:w="1620" w:type="dxa"/>
            <w:tcBorders>
              <w:top w:val="single" w:color="auto" w:sz="4" w:space="0"/>
              <w:left w:val="single" w:color="auto" w:sz="4" w:space="0"/>
              <w:bottom w:val="single" w:color="auto" w:sz="4" w:space="0"/>
              <w:right w:val="single" w:color="auto" w:sz="4" w:space="0"/>
            </w:tcBorders>
            <w:vAlign w:val="center"/>
          </w:tcPr>
          <w:p w14:paraId="06D05BB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vAlign w:val="center"/>
          </w:tcPr>
          <w:p w14:paraId="025A8A0B">
            <w:pPr>
              <w:spacing w:after="0" w:line="240" w:lineRule="auto"/>
              <w:jc w:val="center"/>
              <w:rPr>
                <w:rFonts w:ascii="Times New Roman" w:hAnsi="Times New Roman" w:eastAsia="Times New Roman" w:cs="Times New Roman"/>
                <w:bCs/>
                <w:sz w:val="20"/>
                <w:szCs w:val="20"/>
                <w:lang w:val="en-GB"/>
              </w:rPr>
            </w:pPr>
            <w:r>
              <w:rPr>
                <w:rFonts w:ascii="Times New Roman" w:hAnsi="Times New Roman" w:eastAsia="Calibri" w:cs="Times New Roman"/>
                <w:bCs/>
                <w:sz w:val="20"/>
                <w:szCs w:val="20"/>
              </w:rPr>
              <w:t>15</w:t>
            </w:r>
          </w:p>
        </w:tc>
        <w:tc>
          <w:tcPr>
            <w:tcW w:w="1530" w:type="dxa"/>
          </w:tcPr>
          <w:p w14:paraId="666E86D2">
            <w:pPr>
              <w:jc w:val="center"/>
              <w:rPr>
                <w:rFonts w:ascii="Times New Roman" w:hAnsi="Times New Roman" w:cs="Times New Roman"/>
                <w:sz w:val="20"/>
                <w:szCs w:val="20"/>
              </w:rPr>
            </w:pPr>
            <w:r>
              <w:rPr>
                <w:rFonts w:ascii="Times New Roman" w:hAnsi="Times New Roman" w:eastAsia="Calibri" w:cs="Times New Roman"/>
                <w:bCs/>
                <w:sz w:val="20"/>
                <w:szCs w:val="20"/>
              </w:rPr>
              <w:t>0</w:t>
            </w:r>
          </w:p>
        </w:tc>
        <w:tc>
          <w:tcPr>
            <w:tcW w:w="1620" w:type="dxa"/>
          </w:tcPr>
          <w:p w14:paraId="39371F0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r>
      <w:tr w14:paraId="6D9E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625"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4EA1AC0B">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2B520760">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b/>
                <w:sz w:val="20"/>
                <w:szCs w:val="20"/>
              </w:rPr>
              <w:t xml:space="preserve">Percentage of road network in good condition     </w:t>
            </w:r>
          </w:p>
          <w:p w14:paraId="04F1BE80">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4925F90F">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en-GB"/>
              </w:rPr>
              <w:t>Total</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50D09601">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50%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D17913B">
            <w:pPr>
              <w:spacing w:after="0" w:line="240" w:lineRule="auto"/>
              <w:jc w:val="center"/>
              <w:rPr>
                <w:rFonts w:ascii="Times New Roman" w:hAnsi="Times New Roman" w:cs="Times New Roman"/>
                <w:b/>
                <w:sz w:val="20"/>
                <w:szCs w:val="20"/>
                <w:lang w:eastAsia="zh-CN" w:bidi="ar"/>
              </w:rPr>
            </w:pPr>
            <w:r>
              <w:rPr>
                <w:rFonts w:ascii="Times New Roman" w:hAnsi="Times New Roman" w:cs="Times New Roman"/>
                <w:b/>
                <w:sz w:val="20"/>
                <w:szCs w:val="20"/>
                <w:lang w:eastAsia="zh-CN" w:bidi="ar"/>
              </w:rPr>
              <w:t>60%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C2B81B7">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221km</w:t>
            </w:r>
          </w:p>
        </w:tc>
        <w:tc>
          <w:tcPr>
            <w:tcW w:w="1440" w:type="dxa"/>
            <w:shd w:val="clear" w:color="auto" w:fill="D8D8D8" w:themeFill="background1" w:themeFillShade="D9"/>
            <w:vAlign w:val="center"/>
          </w:tcPr>
          <w:p w14:paraId="6C1C17EE">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en-GB"/>
              </w:rPr>
              <w:t>221km</w:t>
            </w:r>
          </w:p>
        </w:tc>
        <w:tc>
          <w:tcPr>
            <w:tcW w:w="1530" w:type="dxa"/>
            <w:shd w:val="clear" w:color="auto" w:fill="D9D9D9"/>
          </w:tcPr>
          <w:p w14:paraId="0CCEE61F">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100%</w:t>
            </w:r>
          </w:p>
        </w:tc>
        <w:tc>
          <w:tcPr>
            <w:tcW w:w="1620" w:type="dxa"/>
            <w:shd w:val="clear" w:color="auto" w:fill="D9D9D9"/>
            <w:vAlign w:val="center"/>
          </w:tcPr>
          <w:p w14:paraId="785EF306">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en-GB"/>
              </w:rPr>
              <w:t>221km</w:t>
            </w:r>
          </w:p>
        </w:tc>
      </w:tr>
      <w:tr w14:paraId="16CB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65D0167C">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7AFB865C">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shd w:val="clear" w:color="auto" w:fill="D9D9D9"/>
          </w:tcPr>
          <w:p w14:paraId="1E5E662B">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Urban</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2682451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N/A</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EA0F8B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N/A</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0726643">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rPr>
              <w:t>N/A</w:t>
            </w:r>
          </w:p>
        </w:tc>
        <w:tc>
          <w:tcPr>
            <w:tcW w:w="1440" w:type="dxa"/>
            <w:shd w:val="clear" w:color="auto" w:fill="D8D8D8" w:themeFill="background1" w:themeFillShade="D9"/>
            <w:vAlign w:val="center"/>
          </w:tcPr>
          <w:p w14:paraId="2FC9F3D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shd w:val="clear" w:color="auto" w:fill="D9D9D9"/>
          </w:tcPr>
          <w:p w14:paraId="719BDD8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620" w:type="dxa"/>
            <w:shd w:val="clear" w:color="auto" w:fill="D9D9D9"/>
            <w:vAlign w:val="center"/>
          </w:tcPr>
          <w:p w14:paraId="038EC29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r>
      <w:tr w14:paraId="7C20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338EA3E">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597F1B6C">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right w:val="single" w:color="auto" w:sz="4" w:space="0"/>
            </w:tcBorders>
            <w:shd w:val="clear" w:color="auto" w:fill="D9D9D9"/>
          </w:tcPr>
          <w:p w14:paraId="7C4BE256">
            <w:pPr>
              <w:rPr>
                <w:rFonts w:ascii="Times New Roman" w:hAnsi="Times New Roman" w:cs="Times New Roman"/>
                <w:sz w:val="20"/>
                <w:szCs w:val="20"/>
              </w:rPr>
            </w:pPr>
            <w:r>
              <w:rPr>
                <w:rFonts w:ascii="Times New Roman" w:hAnsi="Times New Roman" w:eastAsia="Times New Roman" w:cs="Times New Roman"/>
                <w:sz w:val="20"/>
                <w:szCs w:val="20"/>
                <w:lang w:val="en-GB"/>
              </w:rPr>
              <w:t>Feeder</w:t>
            </w:r>
          </w:p>
        </w:tc>
        <w:tc>
          <w:tcPr>
            <w:tcW w:w="1710" w:type="dxa"/>
            <w:tcBorders>
              <w:top w:val="single" w:color="auto" w:sz="4" w:space="0"/>
              <w:left w:val="single" w:color="auto" w:sz="4" w:space="0"/>
              <w:right w:val="single" w:color="auto" w:sz="4" w:space="0"/>
            </w:tcBorders>
            <w:shd w:val="clear" w:color="auto" w:fill="D9D9D9"/>
            <w:vAlign w:val="center"/>
          </w:tcPr>
          <w:p w14:paraId="0636F0D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45.7km</w:t>
            </w:r>
          </w:p>
        </w:tc>
        <w:tc>
          <w:tcPr>
            <w:tcW w:w="1620" w:type="dxa"/>
            <w:tcBorders>
              <w:top w:val="single" w:color="auto" w:sz="4" w:space="0"/>
              <w:left w:val="single" w:color="auto" w:sz="4" w:space="0"/>
              <w:right w:val="single" w:color="auto" w:sz="4" w:space="0"/>
            </w:tcBorders>
            <w:shd w:val="clear" w:color="auto" w:fill="D9D9D9"/>
            <w:vAlign w:val="center"/>
          </w:tcPr>
          <w:p w14:paraId="04C2E5E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46.2km</w:t>
            </w:r>
          </w:p>
        </w:tc>
        <w:tc>
          <w:tcPr>
            <w:tcW w:w="1620" w:type="dxa"/>
            <w:tcBorders>
              <w:top w:val="single" w:color="auto" w:sz="4" w:space="0"/>
              <w:left w:val="single" w:color="auto" w:sz="4" w:space="0"/>
              <w:right w:val="single" w:color="auto" w:sz="4" w:space="0"/>
            </w:tcBorders>
            <w:shd w:val="clear" w:color="auto" w:fill="D9D9D9"/>
            <w:vAlign w:val="center"/>
          </w:tcPr>
          <w:p w14:paraId="43FA179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52.10km</w:t>
            </w:r>
          </w:p>
        </w:tc>
        <w:tc>
          <w:tcPr>
            <w:tcW w:w="1440" w:type="dxa"/>
            <w:shd w:val="clear" w:color="auto" w:fill="D8D8D8" w:themeFill="background1" w:themeFillShade="D9"/>
            <w:vAlign w:val="center"/>
          </w:tcPr>
          <w:p w14:paraId="6C6906A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52.10km</w:t>
            </w:r>
          </w:p>
        </w:tc>
        <w:tc>
          <w:tcPr>
            <w:tcW w:w="1530" w:type="dxa"/>
            <w:shd w:val="clear" w:color="auto" w:fill="D9D9D9"/>
          </w:tcPr>
          <w:p w14:paraId="143110FC">
            <w:pPr>
              <w:spacing w:after="0" w:line="240" w:lineRule="auto"/>
              <w:jc w:val="center"/>
              <w:rPr>
                <w:rFonts w:ascii="Times New Roman" w:hAnsi="Times New Roman" w:eastAsia="Times New Roman" w:cs="Times New Roman"/>
                <w:sz w:val="20"/>
                <w:szCs w:val="20"/>
                <w:lang w:val="en-GB"/>
              </w:rPr>
            </w:pPr>
          </w:p>
        </w:tc>
        <w:tc>
          <w:tcPr>
            <w:tcW w:w="1620" w:type="dxa"/>
            <w:shd w:val="clear" w:color="auto" w:fill="D9D9D9"/>
            <w:vAlign w:val="center"/>
          </w:tcPr>
          <w:p w14:paraId="39653EA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52.10km</w:t>
            </w:r>
          </w:p>
        </w:tc>
      </w:tr>
      <w:tr w14:paraId="225A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25" w:type="dxa"/>
            <w:vMerge w:val="restart"/>
            <w:tcBorders>
              <w:top w:val="single" w:color="auto" w:sz="4" w:space="0"/>
              <w:left w:val="single" w:color="auto" w:sz="4" w:space="0"/>
              <w:bottom w:val="single" w:color="auto" w:sz="4" w:space="0"/>
              <w:right w:val="single" w:color="auto" w:sz="4" w:space="0"/>
            </w:tcBorders>
            <w:vAlign w:val="center"/>
          </w:tcPr>
          <w:p w14:paraId="08746AD6">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bottom w:val="single" w:color="auto" w:sz="4" w:space="0"/>
              <w:right w:val="single" w:color="auto" w:sz="4" w:space="0"/>
            </w:tcBorders>
            <w:vAlign w:val="center"/>
          </w:tcPr>
          <w:p w14:paraId="75333814">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Percentage of communities covered by electricity</w:t>
            </w:r>
          </w:p>
        </w:tc>
        <w:tc>
          <w:tcPr>
            <w:tcW w:w="2430" w:type="dxa"/>
            <w:tcBorders>
              <w:top w:val="single" w:color="auto" w:sz="4" w:space="0"/>
              <w:left w:val="single" w:color="auto" w:sz="4" w:space="0"/>
              <w:bottom w:val="single" w:color="auto" w:sz="4" w:space="0"/>
              <w:right w:val="single" w:color="auto" w:sz="4" w:space="0"/>
            </w:tcBorders>
          </w:tcPr>
          <w:p w14:paraId="48FB5B24">
            <w:pPr>
              <w:numPr>
                <w:ilvl w:val="0"/>
                <w:numId w:val="24"/>
              </w:numPr>
              <w:spacing w:after="200" w:line="276" w:lineRule="auto"/>
              <w:contextualSpacing/>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District</w:t>
            </w:r>
          </w:p>
        </w:tc>
        <w:tc>
          <w:tcPr>
            <w:tcW w:w="1710" w:type="dxa"/>
            <w:tcBorders>
              <w:top w:val="single" w:color="auto" w:sz="4" w:space="0"/>
              <w:left w:val="single" w:color="auto" w:sz="4" w:space="0"/>
              <w:bottom w:val="single" w:color="auto" w:sz="4" w:space="0"/>
              <w:right w:val="single" w:color="auto" w:sz="4" w:space="0"/>
            </w:tcBorders>
            <w:vAlign w:val="center"/>
          </w:tcPr>
          <w:p w14:paraId="6DE441ED">
            <w:pPr>
              <w:spacing w:after="0" w:line="240" w:lineRule="auto"/>
              <w:jc w:val="center"/>
              <w:rPr>
                <w:rFonts w:ascii="Times New Roman" w:hAnsi="Times New Roman" w:cs="Times New Roman"/>
                <w:b/>
                <w:sz w:val="20"/>
                <w:szCs w:val="20"/>
                <w:lang w:eastAsia="zh-CN" w:bidi="ar"/>
              </w:rPr>
            </w:pPr>
            <w:r>
              <w:rPr>
                <w:rFonts w:ascii="Times New Roman" w:hAnsi="Times New Roman" w:cs="Times New Roman"/>
                <w:b/>
                <w:sz w:val="20"/>
                <w:szCs w:val="20"/>
                <w:lang w:eastAsia="zh-CN" w:bidi="ar"/>
              </w:rPr>
              <w:t>93%</w:t>
            </w:r>
          </w:p>
        </w:tc>
        <w:tc>
          <w:tcPr>
            <w:tcW w:w="1620" w:type="dxa"/>
            <w:tcBorders>
              <w:top w:val="single" w:color="auto" w:sz="4" w:space="0"/>
              <w:left w:val="single" w:color="auto" w:sz="4" w:space="0"/>
              <w:bottom w:val="single" w:color="auto" w:sz="4" w:space="0"/>
              <w:right w:val="single" w:color="auto" w:sz="4" w:space="0"/>
            </w:tcBorders>
            <w:vAlign w:val="center"/>
          </w:tcPr>
          <w:p w14:paraId="68C216BC">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93%</w:t>
            </w:r>
          </w:p>
        </w:tc>
        <w:tc>
          <w:tcPr>
            <w:tcW w:w="1620" w:type="dxa"/>
            <w:tcBorders>
              <w:top w:val="single" w:color="auto" w:sz="4" w:space="0"/>
              <w:left w:val="single" w:color="auto" w:sz="4" w:space="0"/>
              <w:bottom w:val="single" w:color="auto" w:sz="4" w:space="0"/>
              <w:right w:val="single" w:color="auto" w:sz="4" w:space="0"/>
            </w:tcBorders>
            <w:vAlign w:val="center"/>
          </w:tcPr>
          <w:p w14:paraId="78EF0B07">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95%</w:t>
            </w:r>
          </w:p>
        </w:tc>
        <w:tc>
          <w:tcPr>
            <w:tcW w:w="1440" w:type="dxa"/>
            <w:vAlign w:val="center"/>
          </w:tcPr>
          <w:p w14:paraId="0586F87E">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Calibri" w:cs="Times New Roman"/>
                <w:b/>
                <w:sz w:val="20"/>
                <w:szCs w:val="20"/>
              </w:rPr>
              <w:t>95%</w:t>
            </w:r>
          </w:p>
        </w:tc>
        <w:tc>
          <w:tcPr>
            <w:tcW w:w="1530" w:type="dxa"/>
          </w:tcPr>
          <w:p w14:paraId="25F7B172">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100%</w:t>
            </w:r>
          </w:p>
        </w:tc>
        <w:tc>
          <w:tcPr>
            <w:tcW w:w="1620" w:type="dxa"/>
            <w:vAlign w:val="center"/>
          </w:tcPr>
          <w:p w14:paraId="2A5F3AAE">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Calibri" w:cs="Times New Roman"/>
                <w:b/>
                <w:sz w:val="20"/>
                <w:szCs w:val="20"/>
              </w:rPr>
              <w:t>95%</w:t>
            </w:r>
          </w:p>
        </w:tc>
      </w:tr>
      <w:tr w14:paraId="2F16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17CF2935">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016C9C9E">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3EC0FC04">
            <w:pPr>
              <w:numPr>
                <w:ilvl w:val="0"/>
                <w:numId w:val="24"/>
              </w:numPr>
              <w:spacing w:after="200" w:line="276" w:lineRule="auto"/>
              <w:contextualSpacing/>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Rural</w:t>
            </w:r>
          </w:p>
        </w:tc>
        <w:tc>
          <w:tcPr>
            <w:tcW w:w="1710" w:type="dxa"/>
            <w:tcBorders>
              <w:top w:val="single" w:color="auto" w:sz="4" w:space="0"/>
              <w:left w:val="single" w:color="auto" w:sz="4" w:space="0"/>
              <w:bottom w:val="single" w:color="auto" w:sz="4" w:space="0"/>
              <w:right w:val="single" w:color="auto" w:sz="4" w:space="0"/>
            </w:tcBorders>
            <w:vAlign w:val="center"/>
          </w:tcPr>
          <w:p w14:paraId="0C90FC26">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89%</w:t>
            </w:r>
          </w:p>
        </w:tc>
        <w:tc>
          <w:tcPr>
            <w:tcW w:w="1620" w:type="dxa"/>
            <w:tcBorders>
              <w:top w:val="single" w:color="auto" w:sz="4" w:space="0"/>
              <w:left w:val="single" w:color="auto" w:sz="4" w:space="0"/>
              <w:bottom w:val="single" w:color="auto" w:sz="4" w:space="0"/>
              <w:right w:val="single" w:color="auto" w:sz="4" w:space="0"/>
            </w:tcBorders>
            <w:vAlign w:val="center"/>
          </w:tcPr>
          <w:p w14:paraId="312602D1">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89%</w:t>
            </w:r>
          </w:p>
        </w:tc>
        <w:tc>
          <w:tcPr>
            <w:tcW w:w="1620" w:type="dxa"/>
            <w:tcBorders>
              <w:top w:val="single" w:color="auto" w:sz="4" w:space="0"/>
              <w:left w:val="single" w:color="auto" w:sz="4" w:space="0"/>
              <w:bottom w:val="single" w:color="auto" w:sz="4" w:space="0"/>
              <w:right w:val="single" w:color="auto" w:sz="4" w:space="0"/>
            </w:tcBorders>
            <w:vAlign w:val="center"/>
          </w:tcPr>
          <w:p w14:paraId="1A46CA9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91%</w:t>
            </w:r>
          </w:p>
        </w:tc>
        <w:tc>
          <w:tcPr>
            <w:tcW w:w="1440" w:type="dxa"/>
            <w:vAlign w:val="center"/>
          </w:tcPr>
          <w:p w14:paraId="28D5F0D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91%</w:t>
            </w:r>
          </w:p>
        </w:tc>
        <w:tc>
          <w:tcPr>
            <w:tcW w:w="1530" w:type="dxa"/>
          </w:tcPr>
          <w:p w14:paraId="3284817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95%</w:t>
            </w:r>
          </w:p>
        </w:tc>
        <w:tc>
          <w:tcPr>
            <w:tcW w:w="1620" w:type="dxa"/>
            <w:vAlign w:val="center"/>
          </w:tcPr>
          <w:p w14:paraId="20671ED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91%</w:t>
            </w:r>
          </w:p>
        </w:tc>
      </w:tr>
      <w:tr w14:paraId="0FB4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07F1BC6C">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5FD64051">
            <w:p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tcPr>
          <w:p w14:paraId="396E4F66">
            <w:pPr>
              <w:pStyle w:val="24"/>
              <w:numPr>
                <w:ilvl w:val="0"/>
                <w:numId w:val="24"/>
              </w:numPr>
              <w:rPr>
                <w:rFonts w:ascii="Times New Roman" w:hAnsi="Times New Roman" w:cs="Times New Roman"/>
                <w:sz w:val="20"/>
                <w:szCs w:val="20"/>
              </w:rPr>
            </w:pPr>
            <w:r>
              <w:rPr>
                <w:rFonts w:ascii="Times New Roman" w:hAnsi="Times New Roman" w:eastAsia="Times New Roman" w:cs="Times New Roman"/>
                <w:sz w:val="20"/>
                <w:szCs w:val="20"/>
                <w:lang w:val="en-GB"/>
              </w:rPr>
              <w:t>Urban</w:t>
            </w:r>
          </w:p>
        </w:tc>
        <w:tc>
          <w:tcPr>
            <w:tcW w:w="1710" w:type="dxa"/>
            <w:tcBorders>
              <w:top w:val="single" w:color="auto" w:sz="4" w:space="0"/>
              <w:left w:val="single" w:color="auto" w:sz="4" w:space="0"/>
              <w:bottom w:val="single" w:color="auto" w:sz="4" w:space="0"/>
              <w:right w:val="single" w:color="auto" w:sz="4" w:space="0"/>
            </w:tcBorders>
            <w:vAlign w:val="center"/>
          </w:tcPr>
          <w:p w14:paraId="57E8CC14">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4%</w:t>
            </w:r>
          </w:p>
        </w:tc>
        <w:tc>
          <w:tcPr>
            <w:tcW w:w="1620" w:type="dxa"/>
            <w:tcBorders>
              <w:top w:val="single" w:color="auto" w:sz="4" w:space="0"/>
              <w:left w:val="single" w:color="auto" w:sz="4" w:space="0"/>
              <w:bottom w:val="single" w:color="auto" w:sz="4" w:space="0"/>
              <w:right w:val="single" w:color="auto" w:sz="4" w:space="0"/>
            </w:tcBorders>
            <w:vAlign w:val="center"/>
          </w:tcPr>
          <w:p w14:paraId="18E9F4CF">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4%</w:t>
            </w:r>
          </w:p>
        </w:tc>
        <w:tc>
          <w:tcPr>
            <w:tcW w:w="1620" w:type="dxa"/>
            <w:tcBorders>
              <w:top w:val="single" w:color="auto" w:sz="4" w:space="0"/>
              <w:left w:val="single" w:color="auto" w:sz="4" w:space="0"/>
              <w:bottom w:val="single" w:color="auto" w:sz="4" w:space="0"/>
              <w:right w:val="single" w:color="auto" w:sz="4" w:space="0"/>
            </w:tcBorders>
            <w:vAlign w:val="center"/>
          </w:tcPr>
          <w:p w14:paraId="62615EF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w:t>
            </w:r>
          </w:p>
        </w:tc>
        <w:tc>
          <w:tcPr>
            <w:tcW w:w="1440" w:type="dxa"/>
            <w:vAlign w:val="center"/>
          </w:tcPr>
          <w:p w14:paraId="4C86468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w:t>
            </w:r>
          </w:p>
        </w:tc>
        <w:tc>
          <w:tcPr>
            <w:tcW w:w="1530" w:type="dxa"/>
          </w:tcPr>
          <w:p w14:paraId="564BDC5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1620" w:type="dxa"/>
            <w:vAlign w:val="center"/>
          </w:tcPr>
          <w:p w14:paraId="374FE94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w:t>
            </w:r>
          </w:p>
        </w:tc>
      </w:tr>
      <w:tr w14:paraId="3711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2085E744">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shd w:val="clear" w:color="auto" w:fill="D9D9D9"/>
            <w:vAlign w:val="center"/>
          </w:tcPr>
          <w:p w14:paraId="4C05E9EE">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 xml:space="preserve">Reported cases of crime </w:t>
            </w:r>
          </w:p>
        </w:tc>
        <w:tc>
          <w:tcPr>
            <w:tcW w:w="2430" w:type="dxa"/>
            <w:tcBorders>
              <w:top w:val="single" w:color="auto" w:sz="4" w:space="0"/>
              <w:left w:val="single" w:color="auto" w:sz="4" w:space="0"/>
              <w:right w:val="single" w:color="auto" w:sz="4" w:space="0"/>
            </w:tcBorders>
            <w:shd w:val="clear" w:color="auto" w:fill="D9D9D9"/>
          </w:tcPr>
          <w:p w14:paraId="19EC1B37">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Rape </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11DCD8F6">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07C0FE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27A4BF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78C1D830">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0</w:t>
            </w:r>
          </w:p>
        </w:tc>
        <w:tc>
          <w:tcPr>
            <w:tcW w:w="1530" w:type="dxa"/>
            <w:tcBorders>
              <w:top w:val="single" w:color="auto" w:sz="4" w:space="0"/>
              <w:left w:val="single" w:color="auto" w:sz="4" w:space="0"/>
              <w:right w:val="single" w:color="auto" w:sz="4" w:space="0"/>
            </w:tcBorders>
            <w:shd w:val="clear" w:color="auto" w:fill="D9D9D9"/>
            <w:vAlign w:val="center"/>
          </w:tcPr>
          <w:p w14:paraId="3F8F9AE1">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0</w:t>
            </w:r>
          </w:p>
        </w:tc>
        <w:tc>
          <w:tcPr>
            <w:tcW w:w="1620" w:type="dxa"/>
            <w:tcBorders>
              <w:top w:val="single" w:color="auto" w:sz="4" w:space="0"/>
              <w:left w:val="single" w:color="auto" w:sz="4" w:space="0"/>
              <w:right w:val="single" w:color="auto" w:sz="4" w:space="0"/>
            </w:tcBorders>
            <w:shd w:val="clear" w:color="auto" w:fill="D9D9D9"/>
          </w:tcPr>
          <w:p w14:paraId="033583E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FCC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625" w:type="dxa"/>
            <w:vMerge w:val="continue"/>
            <w:tcBorders>
              <w:left w:val="single" w:color="auto" w:sz="4" w:space="0"/>
              <w:right w:val="single" w:color="auto" w:sz="4" w:space="0"/>
            </w:tcBorders>
            <w:vAlign w:val="center"/>
          </w:tcPr>
          <w:p w14:paraId="2582C7A5">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2531C54F">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016B1C4E">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Armed robbery</w:t>
            </w:r>
          </w:p>
        </w:tc>
        <w:tc>
          <w:tcPr>
            <w:tcW w:w="1710" w:type="dxa"/>
            <w:tcBorders>
              <w:top w:val="single" w:color="auto" w:sz="4" w:space="0"/>
              <w:left w:val="single" w:color="auto" w:sz="4" w:space="0"/>
              <w:bottom w:val="single" w:color="auto" w:sz="4" w:space="0"/>
              <w:right w:val="single" w:color="auto" w:sz="4" w:space="0"/>
            </w:tcBorders>
            <w:shd w:val="clear" w:color="auto" w:fill="D9D9D9"/>
            <w:vAlign w:val="center"/>
          </w:tcPr>
          <w:p w14:paraId="05297D15">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23B0509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E0FAA0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79FA461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530" w:type="dxa"/>
            <w:tcBorders>
              <w:left w:val="single" w:color="auto" w:sz="4" w:space="0"/>
              <w:right w:val="single" w:color="auto" w:sz="4" w:space="0"/>
            </w:tcBorders>
            <w:shd w:val="clear" w:color="auto" w:fill="D9D9D9"/>
            <w:vAlign w:val="center"/>
          </w:tcPr>
          <w:p w14:paraId="1160A2D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4354304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05F9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25" w:type="dxa"/>
            <w:vMerge w:val="continue"/>
            <w:tcBorders>
              <w:left w:val="single" w:color="auto" w:sz="4" w:space="0"/>
              <w:right w:val="single" w:color="auto" w:sz="4" w:space="0"/>
            </w:tcBorders>
            <w:vAlign w:val="center"/>
          </w:tcPr>
          <w:p w14:paraId="4651B42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4779A040">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20058DCB">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Defilement</w:t>
            </w:r>
          </w:p>
        </w:tc>
        <w:tc>
          <w:tcPr>
            <w:tcW w:w="1710" w:type="dxa"/>
            <w:tcBorders>
              <w:top w:val="single" w:color="auto" w:sz="4" w:space="0"/>
              <w:left w:val="single" w:color="auto" w:sz="4" w:space="0"/>
              <w:right w:val="single" w:color="auto" w:sz="4" w:space="0"/>
            </w:tcBorders>
            <w:shd w:val="clear" w:color="auto" w:fill="D9D9D9"/>
            <w:vAlign w:val="center"/>
          </w:tcPr>
          <w:p w14:paraId="101D76B9">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5603FB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687A402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34FAFF3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1</w:t>
            </w:r>
          </w:p>
        </w:tc>
        <w:tc>
          <w:tcPr>
            <w:tcW w:w="1530" w:type="dxa"/>
            <w:tcBorders>
              <w:left w:val="single" w:color="auto" w:sz="4" w:space="0"/>
              <w:right w:val="single" w:color="auto" w:sz="4" w:space="0"/>
            </w:tcBorders>
            <w:shd w:val="clear" w:color="auto" w:fill="D9D9D9"/>
            <w:vAlign w:val="center"/>
          </w:tcPr>
          <w:p w14:paraId="1C1EAB6B">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5FA2DCB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3C0C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25" w:type="dxa"/>
            <w:vMerge w:val="continue"/>
            <w:tcBorders>
              <w:left w:val="single" w:color="auto" w:sz="4" w:space="0"/>
              <w:right w:val="single" w:color="auto" w:sz="4" w:space="0"/>
            </w:tcBorders>
            <w:vAlign w:val="center"/>
          </w:tcPr>
          <w:p w14:paraId="4DFDECC9">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2171AFFE">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21795601">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Murder </w:t>
            </w:r>
          </w:p>
        </w:tc>
        <w:tc>
          <w:tcPr>
            <w:tcW w:w="1710" w:type="dxa"/>
            <w:tcBorders>
              <w:left w:val="single" w:color="auto" w:sz="4" w:space="0"/>
              <w:right w:val="single" w:color="auto" w:sz="4" w:space="0"/>
            </w:tcBorders>
            <w:shd w:val="clear" w:color="auto" w:fill="D9D9D9"/>
            <w:vAlign w:val="center"/>
          </w:tcPr>
          <w:p w14:paraId="46E516B7">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4</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DA546B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2896CB5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3C02F7C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530" w:type="dxa"/>
            <w:tcBorders>
              <w:left w:val="single" w:color="auto" w:sz="4" w:space="0"/>
              <w:right w:val="single" w:color="auto" w:sz="4" w:space="0"/>
            </w:tcBorders>
            <w:shd w:val="clear" w:color="auto" w:fill="D9D9D9"/>
            <w:vAlign w:val="center"/>
          </w:tcPr>
          <w:p w14:paraId="58E7A7B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4A18FF7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17AB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25" w:type="dxa"/>
            <w:vMerge w:val="continue"/>
            <w:tcBorders>
              <w:left w:val="single" w:color="auto" w:sz="4" w:space="0"/>
              <w:right w:val="single" w:color="auto" w:sz="4" w:space="0"/>
            </w:tcBorders>
            <w:vAlign w:val="center"/>
          </w:tcPr>
          <w:p w14:paraId="51AB5932">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3589B3AC">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7EBEA586">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Drug trafficking</w:t>
            </w:r>
          </w:p>
        </w:tc>
        <w:tc>
          <w:tcPr>
            <w:tcW w:w="1710" w:type="dxa"/>
            <w:tcBorders>
              <w:left w:val="single" w:color="auto" w:sz="4" w:space="0"/>
              <w:right w:val="single" w:color="auto" w:sz="4" w:space="0"/>
            </w:tcBorders>
            <w:shd w:val="clear" w:color="auto" w:fill="D9D9D9"/>
            <w:vAlign w:val="center"/>
          </w:tcPr>
          <w:p w14:paraId="72E0EFED">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3A6146D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0E6932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68A8D14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530" w:type="dxa"/>
            <w:tcBorders>
              <w:left w:val="single" w:color="auto" w:sz="4" w:space="0"/>
              <w:right w:val="single" w:color="auto" w:sz="4" w:space="0"/>
            </w:tcBorders>
            <w:shd w:val="clear" w:color="auto" w:fill="D9D9D9"/>
            <w:vAlign w:val="center"/>
          </w:tcPr>
          <w:p w14:paraId="2F70956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0D1FCA9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6BEC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25" w:type="dxa"/>
            <w:vMerge w:val="continue"/>
            <w:tcBorders>
              <w:left w:val="single" w:color="auto" w:sz="4" w:space="0"/>
              <w:right w:val="single" w:color="auto" w:sz="4" w:space="0"/>
            </w:tcBorders>
            <w:vAlign w:val="center"/>
          </w:tcPr>
          <w:p w14:paraId="2FD53FB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22F93ECC">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4EEAD540">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Peddling</w:t>
            </w:r>
          </w:p>
        </w:tc>
        <w:tc>
          <w:tcPr>
            <w:tcW w:w="1710" w:type="dxa"/>
            <w:tcBorders>
              <w:left w:val="single" w:color="auto" w:sz="4" w:space="0"/>
              <w:right w:val="single" w:color="auto" w:sz="4" w:space="0"/>
            </w:tcBorders>
            <w:shd w:val="clear" w:color="auto" w:fill="D9D9D9"/>
            <w:vAlign w:val="center"/>
          </w:tcPr>
          <w:p w14:paraId="2203DA7C">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08E17F8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DE6CFB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2ABA64C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530" w:type="dxa"/>
            <w:tcBorders>
              <w:left w:val="single" w:color="auto" w:sz="4" w:space="0"/>
              <w:right w:val="single" w:color="auto" w:sz="4" w:space="0"/>
            </w:tcBorders>
            <w:shd w:val="clear" w:color="auto" w:fill="D9D9D9"/>
            <w:vAlign w:val="center"/>
          </w:tcPr>
          <w:p w14:paraId="4BB84DC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788D9DD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2831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25" w:type="dxa"/>
            <w:vMerge w:val="continue"/>
            <w:tcBorders>
              <w:left w:val="single" w:color="auto" w:sz="4" w:space="0"/>
              <w:right w:val="single" w:color="auto" w:sz="4" w:space="0"/>
            </w:tcBorders>
            <w:vAlign w:val="center"/>
          </w:tcPr>
          <w:p w14:paraId="637129C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075BB632">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646950E9">
            <w:pPr>
              <w:numPr>
                <w:ilvl w:val="0"/>
                <w:numId w:val="25"/>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Drug abuse </w:t>
            </w:r>
          </w:p>
        </w:tc>
        <w:tc>
          <w:tcPr>
            <w:tcW w:w="1710" w:type="dxa"/>
            <w:tcBorders>
              <w:left w:val="single" w:color="auto" w:sz="4" w:space="0"/>
              <w:right w:val="single" w:color="auto" w:sz="4" w:space="0"/>
            </w:tcBorders>
            <w:shd w:val="clear" w:color="auto" w:fill="D9D9D9"/>
            <w:vAlign w:val="center"/>
          </w:tcPr>
          <w:p w14:paraId="3751F60D">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5E5930C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EB13D4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10879CD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530" w:type="dxa"/>
            <w:tcBorders>
              <w:left w:val="single" w:color="auto" w:sz="4" w:space="0"/>
              <w:right w:val="single" w:color="auto" w:sz="4" w:space="0"/>
            </w:tcBorders>
            <w:shd w:val="clear" w:color="auto" w:fill="D9D9D9"/>
            <w:vAlign w:val="center"/>
          </w:tcPr>
          <w:p w14:paraId="3D99913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4765D1E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2D62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25" w:type="dxa"/>
            <w:vMerge w:val="continue"/>
            <w:tcBorders>
              <w:left w:val="single" w:color="auto" w:sz="4" w:space="0"/>
              <w:right w:val="single" w:color="auto" w:sz="4" w:space="0"/>
            </w:tcBorders>
            <w:vAlign w:val="center"/>
          </w:tcPr>
          <w:p w14:paraId="19A77D21">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49782BD6">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shd w:val="clear" w:color="auto" w:fill="D9D9D9"/>
          </w:tcPr>
          <w:p w14:paraId="22368A35">
            <w:pPr>
              <w:pStyle w:val="24"/>
              <w:numPr>
                <w:ilvl w:val="0"/>
                <w:numId w:val="25"/>
              </w:numPr>
              <w:rPr>
                <w:rFonts w:ascii="Times New Roman" w:hAnsi="Times New Roman" w:cs="Times New Roman"/>
                <w:sz w:val="20"/>
                <w:szCs w:val="20"/>
              </w:rPr>
            </w:pPr>
            <w:r>
              <w:rPr>
                <w:rFonts w:ascii="Times New Roman" w:hAnsi="Times New Roman" w:eastAsia="Times New Roman" w:cs="Times New Roman"/>
                <w:sz w:val="20"/>
                <w:szCs w:val="20"/>
                <w:lang w:val="en-GB"/>
              </w:rPr>
              <w:t>Domestic violence</w:t>
            </w:r>
          </w:p>
        </w:tc>
        <w:tc>
          <w:tcPr>
            <w:tcW w:w="1710" w:type="dxa"/>
            <w:tcBorders>
              <w:left w:val="single" w:color="auto" w:sz="4" w:space="0"/>
              <w:right w:val="single" w:color="auto" w:sz="4" w:space="0"/>
            </w:tcBorders>
            <w:shd w:val="clear" w:color="auto" w:fill="D9D9D9"/>
            <w:vAlign w:val="center"/>
          </w:tcPr>
          <w:p w14:paraId="2160E873">
            <w:pPr>
              <w:spacing w:after="0" w:line="240" w:lineRule="auto"/>
              <w:jc w:val="center"/>
              <w:rPr>
                <w:rFonts w:ascii="Times New Roman" w:hAnsi="Times New Roman" w:cs="Times New Roman"/>
                <w:sz w:val="20"/>
                <w:szCs w:val="20"/>
                <w:lang w:eastAsia="zh-CN" w:bidi="ar"/>
              </w:rPr>
            </w:pPr>
            <w:r>
              <w:rPr>
                <w:rFonts w:ascii="Times New Roman" w:hAnsi="Times New Roman" w:cs="Times New Roman"/>
                <w:sz w:val="20"/>
                <w:szCs w:val="20"/>
                <w:lang w:eastAsia="zh-CN" w:bidi="ar"/>
              </w:rPr>
              <w:t>0</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1DC24B6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w:t>
            </w:r>
          </w:p>
        </w:tc>
        <w:tc>
          <w:tcPr>
            <w:tcW w:w="1620" w:type="dxa"/>
            <w:tcBorders>
              <w:top w:val="single" w:color="auto" w:sz="4" w:space="0"/>
              <w:left w:val="single" w:color="auto" w:sz="4" w:space="0"/>
              <w:bottom w:val="single" w:color="auto" w:sz="4" w:space="0"/>
              <w:right w:val="single" w:color="auto" w:sz="4" w:space="0"/>
            </w:tcBorders>
            <w:shd w:val="clear" w:color="auto" w:fill="D9D9D9"/>
            <w:vAlign w:val="center"/>
          </w:tcPr>
          <w:p w14:paraId="41D3C77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14:paraId="7499307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530" w:type="dxa"/>
            <w:tcBorders>
              <w:left w:val="single" w:color="auto" w:sz="4" w:space="0"/>
              <w:right w:val="single" w:color="auto" w:sz="4" w:space="0"/>
            </w:tcBorders>
            <w:shd w:val="clear" w:color="auto" w:fill="D9D9D9"/>
            <w:vAlign w:val="center"/>
          </w:tcPr>
          <w:p w14:paraId="33E65E6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shd w:val="clear" w:color="auto" w:fill="D9D9D9"/>
          </w:tcPr>
          <w:p w14:paraId="27C0E01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76ED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25" w:type="dxa"/>
            <w:vMerge w:val="restart"/>
            <w:tcBorders>
              <w:top w:val="single" w:color="auto" w:sz="4" w:space="0"/>
              <w:left w:val="single" w:color="auto" w:sz="4" w:space="0"/>
              <w:right w:val="single" w:color="auto" w:sz="4" w:space="0"/>
            </w:tcBorders>
            <w:vAlign w:val="center"/>
          </w:tcPr>
          <w:p w14:paraId="24889109">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vMerge w:val="restart"/>
            <w:tcBorders>
              <w:top w:val="single" w:color="auto" w:sz="4" w:space="0"/>
              <w:left w:val="single" w:color="auto" w:sz="4" w:space="0"/>
              <w:right w:val="single" w:color="auto" w:sz="4" w:space="0"/>
            </w:tcBorders>
            <w:vAlign w:val="center"/>
          </w:tcPr>
          <w:p w14:paraId="2630C942">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Number of communities affected by disaster</w:t>
            </w:r>
          </w:p>
        </w:tc>
        <w:tc>
          <w:tcPr>
            <w:tcW w:w="2430" w:type="dxa"/>
            <w:tcBorders>
              <w:top w:val="single" w:color="auto" w:sz="4" w:space="0"/>
              <w:left w:val="single" w:color="auto" w:sz="4" w:space="0"/>
              <w:right w:val="single" w:color="auto" w:sz="4" w:space="0"/>
            </w:tcBorders>
          </w:tcPr>
          <w:p w14:paraId="38A5AB4A">
            <w:pPr>
              <w:numPr>
                <w:ilvl w:val="0"/>
                <w:numId w:val="26"/>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Bushfire</w:t>
            </w:r>
          </w:p>
        </w:tc>
        <w:tc>
          <w:tcPr>
            <w:tcW w:w="1710" w:type="dxa"/>
            <w:tcBorders>
              <w:top w:val="single" w:color="auto" w:sz="4" w:space="0"/>
              <w:left w:val="single" w:color="auto" w:sz="4" w:space="0"/>
              <w:bottom w:val="single" w:color="auto" w:sz="4" w:space="0"/>
              <w:right w:val="single" w:color="auto" w:sz="4" w:space="0"/>
            </w:tcBorders>
            <w:vAlign w:val="center"/>
          </w:tcPr>
          <w:p w14:paraId="46A9063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vAlign w:val="center"/>
          </w:tcPr>
          <w:p w14:paraId="5D5FEE4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vAlign w:val="center"/>
          </w:tcPr>
          <w:p w14:paraId="4445F20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1440" w:type="dxa"/>
            <w:tcBorders>
              <w:top w:val="single" w:color="auto" w:sz="4" w:space="0"/>
              <w:left w:val="single" w:color="auto" w:sz="4" w:space="0"/>
              <w:bottom w:val="single" w:color="auto" w:sz="4" w:space="0"/>
              <w:right w:val="single" w:color="auto" w:sz="4" w:space="0"/>
            </w:tcBorders>
            <w:vAlign w:val="center"/>
          </w:tcPr>
          <w:p w14:paraId="4A62487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1</w:t>
            </w:r>
          </w:p>
        </w:tc>
        <w:tc>
          <w:tcPr>
            <w:tcW w:w="1530" w:type="dxa"/>
            <w:tcBorders>
              <w:top w:val="single" w:color="auto" w:sz="4" w:space="0"/>
              <w:left w:val="single" w:color="auto" w:sz="4" w:space="0"/>
              <w:right w:val="single" w:color="auto" w:sz="4" w:space="0"/>
            </w:tcBorders>
            <w:vAlign w:val="center"/>
          </w:tcPr>
          <w:p w14:paraId="3782BBD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top w:val="single" w:color="auto" w:sz="4" w:space="0"/>
              <w:left w:val="single" w:color="auto" w:sz="4" w:space="0"/>
              <w:right w:val="single" w:color="auto" w:sz="4" w:space="0"/>
            </w:tcBorders>
          </w:tcPr>
          <w:p w14:paraId="2D6E2E2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1393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25" w:type="dxa"/>
            <w:vMerge w:val="continue"/>
            <w:tcBorders>
              <w:left w:val="single" w:color="auto" w:sz="4" w:space="0"/>
              <w:right w:val="single" w:color="auto" w:sz="4" w:space="0"/>
            </w:tcBorders>
            <w:vAlign w:val="center"/>
          </w:tcPr>
          <w:p w14:paraId="1261C55A">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right w:val="single" w:color="auto" w:sz="4" w:space="0"/>
            </w:tcBorders>
            <w:vAlign w:val="center"/>
          </w:tcPr>
          <w:p w14:paraId="4BDCBF86">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right w:val="single" w:color="auto" w:sz="4" w:space="0"/>
            </w:tcBorders>
          </w:tcPr>
          <w:p w14:paraId="6EAC4980">
            <w:pPr>
              <w:numPr>
                <w:ilvl w:val="0"/>
                <w:numId w:val="26"/>
              </w:num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Floods </w:t>
            </w:r>
          </w:p>
        </w:tc>
        <w:tc>
          <w:tcPr>
            <w:tcW w:w="1710" w:type="dxa"/>
            <w:tcBorders>
              <w:top w:val="single" w:color="auto" w:sz="4" w:space="0"/>
              <w:left w:val="single" w:color="auto" w:sz="4" w:space="0"/>
              <w:bottom w:val="single" w:color="auto" w:sz="4" w:space="0"/>
              <w:right w:val="single" w:color="auto" w:sz="4" w:space="0"/>
            </w:tcBorders>
            <w:vAlign w:val="center"/>
          </w:tcPr>
          <w:p w14:paraId="628C9AD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vAlign w:val="center"/>
          </w:tcPr>
          <w:p w14:paraId="471C7D1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w:t>
            </w:r>
          </w:p>
        </w:tc>
        <w:tc>
          <w:tcPr>
            <w:tcW w:w="1620" w:type="dxa"/>
            <w:tcBorders>
              <w:top w:val="single" w:color="auto" w:sz="4" w:space="0"/>
              <w:left w:val="single" w:color="auto" w:sz="4" w:space="0"/>
              <w:bottom w:val="single" w:color="auto" w:sz="4" w:space="0"/>
              <w:right w:val="single" w:color="auto" w:sz="4" w:space="0"/>
            </w:tcBorders>
            <w:vAlign w:val="center"/>
          </w:tcPr>
          <w:p w14:paraId="2AF7156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vAlign w:val="center"/>
          </w:tcPr>
          <w:p w14:paraId="63FBC4B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4</w:t>
            </w:r>
          </w:p>
        </w:tc>
        <w:tc>
          <w:tcPr>
            <w:tcW w:w="1530" w:type="dxa"/>
            <w:tcBorders>
              <w:left w:val="single" w:color="auto" w:sz="4" w:space="0"/>
              <w:right w:val="single" w:color="auto" w:sz="4" w:space="0"/>
            </w:tcBorders>
            <w:vAlign w:val="center"/>
          </w:tcPr>
          <w:p w14:paraId="4CB5725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right w:val="single" w:color="auto" w:sz="4" w:space="0"/>
            </w:tcBorders>
          </w:tcPr>
          <w:p w14:paraId="67F0951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70A6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25" w:type="dxa"/>
            <w:vMerge w:val="continue"/>
            <w:tcBorders>
              <w:left w:val="single" w:color="auto" w:sz="4" w:space="0"/>
              <w:bottom w:val="single" w:color="auto" w:sz="4" w:space="0"/>
              <w:right w:val="single" w:color="auto" w:sz="4" w:space="0"/>
            </w:tcBorders>
            <w:vAlign w:val="center"/>
          </w:tcPr>
          <w:p w14:paraId="2BAFF4DB">
            <w:pPr>
              <w:pStyle w:val="24"/>
              <w:numPr>
                <w:ilvl w:val="0"/>
                <w:numId w:val="9"/>
              </w:numPr>
              <w:spacing w:after="0" w:line="240" w:lineRule="auto"/>
              <w:jc w:val="center"/>
              <w:rPr>
                <w:rFonts w:ascii="Times New Roman" w:hAnsi="Times New Roman" w:eastAsia="Times New Roman" w:cs="Times New Roman"/>
                <w:sz w:val="20"/>
                <w:szCs w:val="20"/>
                <w:lang w:val="en-GB"/>
              </w:rPr>
            </w:pPr>
          </w:p>
        </w:tc>
        <w:tc>
          <w:tcPr>
            <w:tcW w:w="2430" w:type="dxa"/>
            <w:vMerge w:val="continue"/>
            <w:tcBorders>
              <w:left w:val="single" w:color="auto" w:sz="4" w:space="0"/>
              <w:bottom w:val="single" w:color="auto" w:sz="4" w:space="0"/>
              <w:right w:val="single" w:color="auto" w:sz="4" w:space="0"/>
            </w:tcBorders>
            <w:vAlign w:val="center"/>
          </w:tcPr>
          <w:p w14:paraId="185150AD">
            <w:pPr>
              <w:spacing w:after="0" w:line="240" w:lineRule="auto"/>
              <w:rPr>
                <w:rFonts w:ascii="Times New Roman" w:hAnsi="Times New Roman" w:eastAsia="Times New Roman" w:cs="Times New Roman"/>
                <w:sz w:val="20"/>
                <w:szCs w:val="20"/>
                <w:lang w:val="en-GB"/>
              </w:rPr>
            </w:pPr>
          </w:p>
        </w:tc>
        <w:tc>
          <w:tcPr>
            <w:tcW w:w="2430" w:type="dxa"/>
            <w:tcBorders>
              <w:left w:val="single" w:color="auto" w:sz="4" w:space="0"/>
              <w:bottom w:val="single" w:color="auto" w:sz="4" w:space="0"/>
              <w:right w:val="single" w:color="auto" w:sz="4" w:space="0"/>
            </w:tcBorders>
          </w:tcPr>
          <w:p w14:paraId="0290AB88">
            <w:pPr>
              <w:pStyle w:val="24"/>
              <w:numPr>
                <w:ilvl w:val="0"/>
                <w:numId w:val="26"/>
              </w:numPr>
              <w:rPr>
                <w:rFonts w:ascii="Times New Roman" w:hAnsi="Times New Roman" w:cs="Times New Roman"/>
                <w:sz w:val="20"/>
                <w:szCs w:val="20"/>
              </w:rPr>
            </w:pPr>
            <w:r>
              <w:rPr>
                <w:rFonts w:ascii="Times New Roman" w:hAnsi="Times New Roman" w:eastAsia="Times New Roman" w:cs="Times New Roman"/>
                <w:sz w:val="20"/>
                <w:szCs w:val="20"/>
                <w:lang w:val="en-GB"/>
              </w:rPr>
              <w:t>Wind/Rain Storm</w:t>
            </w:r>
          </w:p>
        </w:tc>
        <w:tc>
          <w:tcPr>
            <w:tcW w:w="1710" w:type="dxa"/>
            <w:tcBorders>
              <w:top w:val="single" w:color="auto" w:sz="4" w:space="0"/>
              <w:left w:val="single" w:color="auto" w:sz="4" w:space="0"/>
              <w:bottom w:val="single" w:color="auto" w:sz="4" w:space="0"/>
              <w:right w:val="single" w:color="auto" w:sz="4" w:space="0"/>
            </w:tcBorders>
            <w:vAlign w:val="center"/>
          </w:tcPr>
          <w:p w14:paraId="03113A1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620" w:type="dxa"/>
            <w:tcBorders>
              <w:top w:val="single" w:color="auto" w:sz="4" w:space="0"/>
              <w:left w:val="single" w:color="auto" w:sz="4" w:space="0"/>
              <w:bottom w:val="single" w:color="auto" w:sz="4" w:space="0"/>
              <w:right w:val="single" w:color="auto" w:sz="4" w:space="0"/>
            </w:tcBorders>
            <w:vAlign w:val="center"/>
          </w:tcPr>
          <w:p w14:paraId="46EECC0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w:t>
            </w:r>
          </w:p>
        </w:tc>
        <w:tc>
          <w:tcPr>
            <w:tcW w:w="1620" w:type="dxa"/>
            <w:tcBorders>
              <w:top w:val="single" w:color="auto" w:sz="4" w:space="0"/>
              <w:left w:val="single" w:color="auto" w:sz="4" w:space="0"/>
              <w:bottom w:val="single" w:color="auto" w:sz="4" w:space="0"/>
              <w:right w:val="single" w:color="auto" w:sz="4" w:space="0"/>
            </w:tcBorders>
            <w:vAlign w:val="center"/>
          </w:tcPr>
          <w:p w14:paraId="52168F3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1440" w:type="dxa"/>
            <w:tcBorders>
              <w:top w:val="single" w:color="auto" w:sz="4" w:space="0"/>
              <w:left w:val="single" w:color="auto" w:sz="4" w:space="0"/>
              <w:bottom w:val="single" w:color="auto" w:sz="4" w:space="0"/>
              <w:right w:val="single" w:color="auto" w:sz="4" w:space="0"/>
            </w:tcBorders>
            <w:vAlign w:val="center"/>
          </w:tcPr>
          <w:p w14:paraId="46821A2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5</w:t>
            </w:r>
          </w:p>
        </w:tc>
        <w:tc>
          <w:tcPr>
            <w:tcW w:w="1530" w:type="dxa"/>
            <w:tcBorders>
              <w:left w:val="single" w:color="auto" w:sz="4" w:space="0"/>
              <w:bottom w:val="single" w:color="auto" w:sz="4" w:space="0"/>
              <w:right w:val="single" w:color="auto" w:sz="4" w:space="0"/>
            </w:tcBorders>
            <w:vAlign w:val="center"/>
          </w:tcPr>
          <w:p w14:paraId="083177A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Calibri" w:cs="Times New Roman"/>
                <w:sz w:val="20"/>
                <w:szCs w:val="20"/>
              </w:rPr>
              <w:t>0</w:t>
            </w:r>
          </w:p>
        </w:tc>
        <w:tc>
          <w:tcPr>
            <w:tcW w:w="1620" w:type="dxa"/>
            <w:tcBorders>
              <w:left w:val="single" w:color="auto" w:sz="4" w:space="0"/>
              <w:bottom w:val="single" w:color="auto" w:sz="4" w:space="0"/>
              <w:right w:val="single" w:color="auto" w:sz="4" w:space="0"/>
            </w:tcBorders>
          </w:tcPr>
          <w:p w14:paraId="6CC8DBD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r>
      <w:tr w14:paraId="6E5E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14:paraId="4F4EED5A">
            <w:pPr>
              <w:pStyle w:val="24"/>
              <w:numPr>
                <w:ilvl w:val="0"/>
                <w:numId w:val="9"/>
              </w:numPr>
              <w:spacing w:after="0" w:line="240" w:lineRule="auto"/>
              <w:rPr>
                <w:rFonts w:ascii="Times New Roman" w:hAnsi="Times New Roman" w:eastAsia="Times New Roman" w:cs="Times New Roman"/>
                <w:sz w:val="20"/>
                <w:szCs w:val="20"/>
                <w:lang w:val="en-GB"/>
              </w:rPr>
            </w:pPr>
          </w:p>
        </w:tc>
        <w:tc>
          <w:tcPr>
            <w:tcW w:w="2430" w:type="dxa"/>
            <w:tcBorders>
              <w:top w:val="single" w:color="auto" w:sz="4" w:space="0"/>
              <w:left w:val="single" w:color="auto" w:sz="4" w:space="0"/>
              <w:bottom w:val="single" w:color="auto" w:sz="4" w:space="0"/>
              <w:right w:val="single" w:color="auto" w:sz="4" w:space="0"/>
            </w:tcBorders>
            <w:vAlign w:val="center"/>
          </w:tcPr>
          <w:p w14:paraId="21F46D9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Percentage of annual action plan implemented</w:t>
            </w:r>
          </w:p>
        </w:tc>
        <w:tc>
          <w:tcPr>
            <w:tcW w:w="2430" w:type="dxa"/>
            <w:tcBorders>
              <w:top w:val="single" w:color="auto" w:sz="4" w:space="0"/>
              <w:left w:val="single" w:color="auto" w:sz="4" w:space="0"/>
              <w:bottom w:val="single" w:color="auto" w:sz="4" w:space="0"/>
              <w:right w:val="single" w:color="auto" w:sz="4" w:space="0"/>
            </w:tcBorders>
          </w:tcPr>
          <w:p w14:paraId="391CEFCE">
            <w:pPr>
              <w:spacing w:after="0" w:line="240" w:lineRule="auto"/>
              <w:jc w:val="center"/>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vAlign w:val="center"/>
          </w:tcPr>
          <w:p w14:paraId="2628834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87%</w:t>
            </w:r>
          </w:p>
        </w:tc>
        <w:tc>
          <w:tcPr>
            <w:tcW w:w="1620" w:type="dxa"/>
            <w:tcBorders>
              <w:top w:val="single" w:color="auto" w:sz="4" w:space="0"/>
              <w:left w:val="single" w:color="auto" w:sz="4" w:space="0"/>
              <w:bottom w:val="single" w:color="auto" w:sz="4" w:space="0"/>
              <w:right w:val="single" w:color="auto" w:sz="4" w:space="0"/>
            </w:tcBorders>
            <w:vAlign w:val="center"/>
          </w:tcPr>
          <w:p w14:paraId="7B414C0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90.7%</w:t>
            </w:r>
          </w:p>
        </w:tc>
        <w:tc>
          <w:tcPr>
            <w:tcW w:w="1620" w:type="dxa"/>
            <w:tcBorders>
              <w:top w:val="single" w:color="auto" w:sz="4" w:space="0"/>
              <w:left w:val="single" w:color="auto" w:sz="4" w:space="0"/>
              <w:bottom w:val="single" w:color="auto" w:sz="4" w:space="0"/>
              <w:right w:val="single" w:color="auto" w:sz="4" w:space="0"/>
            </w:tcBorders>
            <w:vAlign w:val="center"/>
          </w:tcPr>
          <w:p w14:paraId="130D9CF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90.3%</w:t>
            </w:r>
          </w:p>
        </w:tc>
        <w:tc>
          <w:tcPr>
            <w:tcW w:w="1440" w:type="dxa"/>
            <w:tcBorders>
              <w:top w:val="single" w:color="auto" w:sz="4" w:space="0"/>
              <w:left w:val="single" w:color="auto" w:sz="4" w:space="0"/>
              <w:bottom w:val="single" w:color="auto" w:sz="4" w:space="0"/>
              <w:right w:val="single" w:color="auto" w:sz="4" w:space="0"/>
            </w:tcBorders>
            <w:vAlign w:val="center"/>
          </w:tcPr>
          <w:p w14:paraId="0C4B075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Arial" w:cs="Times New Roman"/>
                <w:b/>
                <w:sz w:val="20"/>
                <w:szCs w:val="20"/>
              </w:rPr>
              <w:t>95.3%</w:t>
            </w:r>
          </w:p>
        </w:tc>
        <w:tc>
          <w:tcPr>
            <w:tcW w:w="1530" w:type="dxa"/>
            <w:tcBorders>
              <w:top w:val="single" w:color="auto" w:sz="4" w:space="0"/>
              <w:left w:val="single" w:color="auto" w:sz="4" w:space="0"/>
              <w:bottom w:val="single" w:color="auto" w:sz="4" w:space="0"/>
              <w:right w:val="single" w:color="auto" w:sz="4" w:space="0"/>
            </w:tcBorders>
          </w:tcPr>
          <w:p w14:paraId="3565987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100%</w:t>
            </w:r>
          </w:p>
        </w:tc>
        <w:tc>
          <w:tcPr>
            <w:tcW w:w="1620" w:type="dxa"/>
            <w:tcBorders>
              <w:top w:val="single" w:color="auto" w:sz="4" w:space="0"/>
              <w:left w:val="single" w:color="auto" w:sz="4" w:space="0"/>
              <w:bottom w:val="single" w:color="auto" w:sz="4" w:space="0"/>
              <w:right w:val="single" w:color="auto" w:sz="4" w:space="0"/>
            </w:tcBorders>
          </w:tcPr>
          <w:p w14:paraId="1597748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40.70%</w:t>
            </w:r>
          </w:p>
        </w:tc>
      </w:tr>
    </w:tbl>
    <w:p w14:paraId="39A33594">
      <w:pPr>
        <w:tabs>
          <w:tab w:val="left" w:pos="10583"/>
        </w:tabs>
        <w:rPr>
          <w:rFonts w:ascii="Times New Roman" w:hAnsi="Times New Roman" w:cs="Times New Roman"/>
        </w:rPr>
        <w:sectPr>
          <w:pgSz w:w="15840" w:h="12240" w:orient="landscape"/>
          <w:pgMar w:top="720" w:right="720" w:bottom="720" w:left="720" w:header="720" w:footer="720" w:gutter="0"/>
          <w:cols w:space="720" w:num="1"/>
          <w:docGrid w:linePitch="360" w:charSpace="0"/>
        </w:sectPr>
      </w:pPr>
    </w:p>
    <w:p w14:paraId="454B4DDA">
      <w:pPr>
        <w:pStyle w:val="4"/>
        <w:spacing w:line="360" w:lineRule="auto"/>
        <w:jc w:val="both"/>
        <w:rPr>
          <w:rFonts w:ascii="Times New Roman" w:hAnsi="Times New Roman" w:eastAsia="Times New Roman" w:cs="Times New Roman"/>
          <w:b/>
          <w:i/>
          <w:color w:val="auto"/>
        </w:rPr>
      </w:pPr>
      <w:bookmarkStart w:id="93" w:name="_Toc230260736"/>
      <w:r>
        <w:rPr>
          <w:rFonts w:ascii="Times New Roman" w:hAnsi="Times New Roman" w:eastAsia="Times New Roman" w:cs="Times New Roman"/>
          <w:b/>
          <w:i/>
          <w:color w:val="auto"/>
        </w:rPr>
        <w:t xml:space="preserve">2.5.1 Analysis of </w:t>
      </w:r>
      <w:r>
        <w:rPr>
          <w:rFonts w:ascii="Times New Roman" w:hAnsi="Times New Roman" w:eastAsia="Times New Roman" w:cs="Times New Roman"/>
          <w:b/>
          <w:i/>
          <w:iCs/>
          <w:color w:val="auto"/>
        </w:rPr>
        <w:t>District Performance Indicators and Targets as at First Quarter 2025</w:t>
      </w:r>
      <w:bookmarkEnd w:id="93"/>
    </w:p>
    <w:p w14:paraId="74F66AED">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Economic Development Dimension</w:t>
      </w:r>
    </w:p>
    <w:p w14:paraId="2C70F1EC">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under the Economic Development Dimension during the First Quarter of 2026 presents a mixed outlook. The District continued to maintain relatively stable agricultural production levels in some key crops and livestock categories, although most crop indicators had not yet recorded quarterly outputs at the time of reporting due to the seasonal nature of agricultural activities. Consequently, several indicators such as maize, rice, cassava, yam, cocoyam, plantain, cashew, and other crop production outputs were reported as not available for the quarter under review.</w:t>
      </w:r>
    </w:p>
    <w:p w14:paraId="03FDACE6">
      <w:pPr>
        <w:spacing w:line="360" w:lineRule="auto"/>
        <w:jc w:val="both"/>
        <w:rPr>
          <w:rFonts w:ascii="Times New Roman" w:hAnsi="Times New Roman" w:cs="Times New Roman"/>
          <w:sz w:val="24"/>
          <w:szCs w:val="24"/>
        </w:rPr>
      </w:pPr>
      <w:r>
        <w:rPr>
          <w:rFonts w:ascii="Times New Roman" w:hAnsi="Times New Roman" w:cs="Times New Roman"/>
          <w:sz w:val="24"/>
          <w:szCs w:val="24"/>
        </w:rPr>
        <w:t>Livestock production indicators remained comparatively strong based on previous annual performances. The District continued to maintain high stock levels in cattle, sheep, goats, pigs, and cotton production compared to baseline values, reflecting sustained growth in animal production activities over the years. This demonstrates continued farmer interest in livestock production and the impact of veterinary and agricultural extension services within the District.</w:t>
      </w:r>
    </w:p>
    <w:p w14:paraId="35DEB5F1">
      <w:pPr>
        <w:spacing w:line="360" w:lineRule="auto"/>
        <w:jc w:val="both"/>
        <w:rPr>
          <w:rFonts w:ascii="Times New Roman" w:hAnsi="Times New Roman" w:cs="Times New Roman"/>
          <w:sz w:val="24"/>
          <w:szCs w:val="24"/>
        </w:rPr>
      </w:pPr>
      <w:r>
        <w:rPr>
          <w:rFonts w:ascii="Times New Roman" w:hAnsi="Times New Roman" w:cs="Times New Roman"/>
          <w:sz w:val="24"/>
          <w:szCs w:val="24"/>
        </w:rPr>
        <w:t>The percentage of arable land under cultivation remained at 68 percent against the annual target of 100 percent, indicating that land utilization for agricultural purposes still remains below expectation. This suggests the need for intensified agricultural support services, improved access to farm inputs, and investment in mechanized farming to encourage expansion in cultivated land area.</w:t>
      </w:r>
    </w:p>
    <w:p w14:paraId="3BF6B5D8">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relating to industrial and service sector development remained low during the quarter, as no new industries or significant service establishments were recorded. Similarly, no substantial quarterly progress was recorded under job creation indicators for agriculture, industry, and services during the period under review.</w:t>
      </w:r>
    </w:p>
    <w:p w14:paraId="02AAEA67">
      <w:pPr>
        <w:spacing w:line="360" w:lineRule="auto"/>
        <w:jc w:val="both"/>
        <w:rPr>
          <w:rFonts w:ascii="Times New Roman" w:hAnsi="Times New Roman" w:cs="Times New Roman"/>
          <w:sz w:val="24"/>
          <w:szCs w:val="24"/>
        </w:rPr>
      </w:pPr>
      <w:r>
        <w:rPr>
          <w:rFonts w:ascii="Times New Roman" w:hAnsi="Times New Roman" w:cs="Times New Roman"/>
          <w:sz w:val="24"/>
          <w:szCs w:val="24"/>
        </w:rPr>
        <w:t>With respect to Internally Generated Fund (IGF), the District recorded a negative percentage change of 26.88 percent during the First Quarter of 2026. IGF performance declined from an actual figure of GHS 4,835,892.97 in 2025 to GHS 3,536,049.63 in the First Quarter of 2026. This decline may be attributed to reduced revenue mobilisation activities, delays in fee collection, and broader economic challenges affecting local revenue generation.</w:t>
      </w:r>
    </w:p>
    <w:p w14:paraId="71EF171B">
      <w:pPr>
        <w:spacing w:line="360" w:lineRule="auto"/>
        <w:jc w:val="both"/>
        <w:rPr>
          <w:rFonts w:ascii="Times New Roman" w:hAnsi="Times New Roman" w:cs="Times New Roman"/>
          <w:sz w:val="24"/>
          <w:szCs w:val="24"/>
        </w:rPr>
      </w:pPr>
      <w:r>
        <w:rPr>
          <w:rFonts w:ascii="Times New Roman" w:hAnsi="Times New Roman" w:cs="Times New Roman"/>
          <w:sz w:val="24"/>
          <w:szCs w:val="24"/>
        </w:rPr>
        <w:t>Overall, performance under the Economic Development Dimension remains moderate, with strengths in livestock production and revenue mobilisation potential, but challenges persist in agricultural expansion, industrial development, and employment creation.</w:t>
      </w:r>
    </w:p>
    <w:p w14:paraId="7C564EA8">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Social Development Dimension</w:t>
      </w:r>
    </w:p>
    <w:p w14:paraId="161490E0">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under the Social Development Dimension during the First Quarter of 2026 generally remained stable, particularly in education, health service delivery, and access to social services.</w:t>
      </w:r>
    </w:p>
    <w:p w14:paraId="2E068F02">
      <w:pPr>
        <w:spacing w:line="360" w:lineRule="auto"/>
        <w:jc w:val="both"/>
        <w:rPr>
          <w:rFonts w:ascii="Times New Roman" w:hAnsi="Times New Roman" w:cs="Times New Roman"/>
          <w:sz w:val="24"/>
          <w:szCs w:val="24"/>
        </w:rPr>
      </w:pPr>
      <w:r>
        <w:rPr>
          <w:rFonts w:ascii="Times New Roman" w:hAnsi="Times New Roman" w:cs="Times New Roman"/>
          <w:sz w:val="24"/>
          <w:szCs w:val="24"/>
        </w:rPr>
        <w:t>In the education sector, Net Enrolment Ratios recorded moderate performance across all levels of education. Kindergarten enrolment stood at 49.86 percent against the annual target of 60.21 percent, while Primary and Junior High School enrolment ratios recorded 39.74 percent and 30.27 percent respectively, both below their annual targets. This indicates that although school participation remains relatively stable, challenges relating to enrolment and retention still persist within the District.</w:t>
      </w:r>
    </w:p>
    <w:p w14:paraId="4CA90AF4">
      <w:pPr>
        <w:spacing w:line="360" w:lineRule="auto"/>
        <w:jc w:val="both"/>
        <w:rPr>
          <w:rFonts w:ascii="Times New Roman" w:hAnsi="Times New Roman" w:cs="Times New Roman"/>
          <w:sz w:val="24"/>
          <w:szCs w:val="24"/>
        </w:rPr>
      </w:pPr>
      <w:r>
        <w:rPr>
          <w:rFonts w:ascii="Times New Roman" w:hAnsi="Times New Roman" w:cs="Times New Roman"/>
          <w:sz w:val="24"/>
          <w:szCs w:val="24"/>
        </w:rPr>
        <w:t>The Gender Parity Index across all levels of education remained close to or above parity, indicating sustained progress towards gender equality in access to education. Kindergarten recorded a parity index of 0.96, Primary stood at 1.01, JHS recorded 1.05, while SHS recorded 1.15 during the quarter under review. This demonstrates balanced participation between males and females within the educational system.</w:t>
      </w:r>
    </w:p>
    <w:p w14:paraId="0C161A92">
      <w:pPr>
        <w:spacing w:line="360" w:lineRule="auto"/>
        <w:jc w:val="both"/>
        <w:rPr>
          <w:rFonts w:ascii="Times New Roman" w:hAnsi="Times New Roman" w:cs="Times New Roman"/>
          <w:sz w:val="24"/>
          <w:szCs w:val="24"/>
        </w:rPr>
      </w:pPr>
      <w:r>
        <w:rPr>
          <w:rFonts w:ascii="Times New Roman" w:hAnsi="Times New Roman" w:cs="Times New Roman"/>
          <w:sz w:val="24"/>
          <w:szCs w:val="24"/>
        </w:rPr>
        <w:t>Completion rates across Kindergarten, Primary, and JHS remained relatively high during the quarter. Kindergarten completion rate stood at 90.88 percent, Primary recorded 92.69 percent, and JHS recorded 87.95 percent. However, SHS completion rate remained comparatively low at 39.20 percent, suggesting persistent challenges relating to transition, retention, and completion at the secondary education level.</w:t>
      </w:r>
    </w:p>
    <w:p w14:paraId="4706040B">
      <w:pPr>
        <w:spacing w:line="360" w:lineRule="auto"/>
        <w:jc w:val="both"/>
        <w:rPr>
          <w:rFonts w:ascii="Times New Roman" w:hAnsi="Times New Roman" w:cs="Times New Roman"/>
          <w:sz w:val="24"/>
          <w:szCs w:val="24"/>
        </w:rPr>
      </w:pPr>
      <w:r>
        <w:rPr>
          <w:rFonts w:ascii="Times New Roman" w:hAnsi="Times New Roman" w:cs="Times New Roman"/>
          <w:sz w:val="24"/>
          <w:szCs w:val="24"/>
        </w:rPr>
        <w:t>The District maintained 100 percent functionality across all categories of health facilities, including CHPS compounds, clinics, health centres, polyclinics, and hospitals. This reflects the Assembly’s continued commitment towards improving healthcare delivery and ensuring accessibility to quality health services across the District.</w:t>
      </w:r>
    </w:p>
    <w:p w14:paraId="4CD5EBE4">
      <w:pPr>
        <w:spacing w:line="360" w:lineRule="auto"/>
        <w:jc w:val="both"/>
        <w:rPr>
          <w:rFonts w:ascii="Times New Roman" w:hAnsi="Times New Roman" w:cs="Times New Roman"/>
          <w:sz w:val="24"/>
          <w:szCs w:val="24"/>
        </w:rPr>
      </w:pPr>
      <w:r>
        <w:rPr>
          <w:rFonts w:ascii="Times New Roman" w:hAnsi="Times New Roman" w:cs="Times New Roman"/>
          <w:sz w:val="24"/>
          <w:szCs w:val="24"/>
        </w:rPr>
        <w:t>Institutional malaria case fatality remained at zero for all categories, including district total, children under five years, and women between 15 and 49 years, indicating effective malaria prevention and treatment interventions within the District.</w:t>
      </w:r>
    </w:p>
    <w:p w14:paraId="45C7781F">
      <w:pPr>
        <w:spacing w:line="360" w:lineRule="auto"/>
        <w:jc w:val="both"/>
        <w:rPr>
          <w:rFonts w:ascii="Times New Roman" w:hAnsi="Times New Roman" w:cs="Times New Roman"/>
          <w:sz w:val="24"/>
          <w:szCs w:val="24"/>
        </w:rPr>
      </w:pPr>
      <w:r>
        <w:rPr>
          <w:rFonts w:ascii="Times New Roman" w:hAnsi="Times New Roman" w:cs="Times New Roman"/>
          <w:sz w:val="24"/>
          <w:szCs w:val="24"/>
        </w:rPr>
        <w:t>Nutritional indicators showed mixed results during the quarter. While wasting and overweight cases remained at zero, underweight cases increased slightly to six cases compared to the target of zero. Stunting cases remained at zero during the quarter under review, reflecting some improvement in child nutrition interventions.</w:t>
      </w:r>
    </w:p>
    <w:p w14:paraId="1058257D">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in NHIS coverage remained encouraging. The proportion of the population with valid NHIS cards increased to 84.32 percent against the annual target of 83.62 percent. Informal sector enrolment also improved marginally to 31.80 percent, while indigent enrolment increased to 9.8 percent during the quarter.</w:t>
      </w:r>
    </w:p>
    <w:p w14:paraId="20A2F94A">
      <w:pPr>
        <w:spacing w:line="360" w:lineRule="auto"/>
        <w:jc w:val="both"/>
        <w:rPr>
          <w:rFonts w:ascii="Times New Roman" w:hAnsi="Times New Roman" w:cs="Times New Roman"/>
          <w:sz w:val="24"/>
          <w:szCs w:val="24"/>
        </w:rPr>
      </w:pPr>
      <w:r>
        <w:rPr>
          <w:rFonts w:ascii="Times New Roman" w:hAnsi="Times New Roman" w:cs="Times New Roman"/>
          <w:sz w:val="24"/>
          <w:szCs w:val="24"/>
        </w:rPr>
        <w:t>Birth registration recorded a total of 664 births during the quarter, comprising 332 males and 332 females. Death registration recorded a total of 14 deaths, indicating continued improvements in civil registration and vital statistics reporting within the District.</w:t>
      </w:r>
    </w:p>
    <w:p w14:paraId="27424D4C">
      <w:pPr>
        <w:spacing w:line="360" w:lineRule="auto"/>
        <w:jc w:val="both"/>
        <w:rPr>
          <w:rFonts w:ascii="Times New Roman" w:hAnsi="Times New Roman" w:cs="Times New Roman"/>
          <w:sz w:val="24"/>
          <w:szCs w:val="24"/>
        </w:rPr>
      </w:pPr>
      <w:r>
        <w:rPr>
          <w:rFonts w:ascii="Times New Roman" w:hAnsi="Times New Roman" w:cs="Times New Roman"/>
          <w:sz w:val="24"/>
          <w:szCs w:val="24"/>
        </w:rPr>
        <w:t>Overall, the Social Development Dimension recorded generally satisfactory performance during the First Quarter of 2026, particularly in health service delivery, gender parity, and completion rates. However, enrolment gaps and low SHS completion rates remain areas requiring further intervention.</w:t>
      </w:r>
    </w:p>
    <w:p w14:paraId="359C260A">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Water, Sanitation, Energy, and Infrastructure</w:t>
      </w:r>
    </w:p>
    <w:p w14:paraId="4A3E9E1C">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under water, sanitation, energy, and infrastructure indicators during the First Quarter of 2026 was varied. Access to safe drinking water remained relatively high within the District. District-wide access stood at 89.96 percent against the annual target of 100 percent. Urban water coverage recorded 40.42 percent while rural coverage stood at 49.54 percent during the quarter under review. Although access levels remain relatively high, the District still falls short of achieving universal access to safe drinking water.</w:t>
      </w:r>
    </w:p>
    <w:p w14:paraId="5F448770">
      <w:pPr>
        <w:spacing w:line="360" w:lineRule="auto"/>
        <w:jc w:val="both"/>
        <w:rPr>
          <w:rFonts w:ascii="Times New Roman" w:hAnsi="Times New Roman" w:cs="Times New Roman"/>
          <w:sz w:val="24"/>
          <w:szCs w:val="24"/>
        </w:rPr>
      </w:pPr>
      <w:r>
        <w:rPr>
          <w:rFonts w:ascii="Times New Roman" w:hAnsi="Times New Roman" w:cs="Times New Roman"/>
          <w:sz w:val="24"/>
          <w:szCs w:val="24"/>
        </w:rPr>
        <w:t>Sanitation coverage recorded significant improvement compared to previous years. District-wide access to improved sanitation services increased sharply to 84 percent during the First Quarter of 2026 against a target of 100 percent. Urban sanitation coverage stood at 42 percent while rural sanitation coverage also recorded 42 percent. This improvement may be attributed to ongoing sanitation interventions, increased public education, and the construction of sanitation facilities across the District.</w:t>
      </w:r>
    </w:p>
    <w:p w14:paraId="630CC9C6">
      <w:pPr>
        <w:spacing w:line="360" w:lineRule="auto"/>
        <w:jc w:val="both"/>
        <w:rPr>
          <w:rFonts w:ascii="Times New Roman" w:hAnsi="Times New Roman" w:cs="Times New Roman"/>
          <w:sz w:val="24"/>
          <w:szCs w:val="24"/>
        </w:rPr>
      </w:pPr>
      <w:r>
        <w:rPr>
          <w:rFonts w:ascii="Times New Roman" w:hAnsi="Times New Roman" w:cs="Times New Roman"/>
          <w:sz w:val="24"/>
          <w:szCs w:val="24"/>
        </w:rPr>
        <w:t>The percentage of communities covered by electricity remained stable at 95 percent for the District as a whole. Rural electricity coverage stood at 91 percent while urban coverage remained at 4 percent. This indicates continued expansion in electricity access, particularly within rural communities.</w:t>
      </w:r>
    </w:p>
    <w:p w14:paraId="7CA594F5">
      <w:pPr>
        <w:spacing w:line="360" w:lineRule="auto"/>
        <w:jc w:val="both"/>
        <w:rPr>
          <w:rFonts w:ascii="Times New Roman" w:hAnsi="Times New Roman" w:cs="Times New Roman"/>
          <w:sz w:val="24"/>
          <w:szCs w:val="24"/>
        </w:rPr>
      </w:pPr>
      <w:r>
        <w:rPr>
          <w:rFonts w:ascii="Times New Roman" w:hAnsi="Times New Roman" w:cs="Times New Roman"/>
          <w:sz w:val="24"/>
          <w:szCs w:val="24"/>
        </w:rPr>
        <w:t>Road infrastructure conditions remained largely unchanged during the quarter. The District maintained a total road network condition of 221 kilometres in good condition, while feeder roads accounted for 52.10 kilometres. Despite this, the District remains below its infrastructure improvement targets, indicating the need for increased investment in road rehabilitation and maintenance.</w:t>
      </w:r>
    </w:p>
    <w:p w14:paraId="775067A6">
      <w:pPr>
        <w:spacing w:line="360" w:lineRule="auto"/>
        <w:jc w:val="both"/>
        <w:rPr>
          <w:rFonts w:ascii="Times New Roman" w:hAnsi="Times New Roman" w:cs="Times New Roman"/>
          <w:sz w:val="24"/>
          <w:szCs w:val="24"/>
        </w:rPr>
      </w:pPr>
      <w:r>
        <w:rPr>
          <w:rFonts w:ascii="Times New Roman" w:hAnsi="Times New Roman" w:cs="Times New Roman"/>
          <w:sz w:val="24"/>
          <w:szCs w:val="24"/>
        </w:rPr>
        <w:t>The District recorded moderate progress in water, sanitation, and electricity coverage, although road infrastructure development remains a challenge.</w:t>
      </w:r>
    </w:p>
    <w:p w14:paraId="62A533D4">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Governance, Safety, and Disaster Management</w:t>
      </w:r>
    </w:p>
    <w:p w14:paraId="76C234D6">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under Governance, Safety, and Disaster Management indicators during the First Quarter of 2026 remained generally stable.</w:t>
      </w:r>
    </w:p>
    <w:p w14:paraId="1371FA5E">
      <w:pPr>
        <w:spacing w:line="360" w:lineRule="auto"/>
        <w:jc w:val="both"/>
        <w:rPr>
          <w:rFonts w:ascii="Times New Roman" w:hAnsi="Times New Roman" w:cs="Times New Roman"/>
          <w:sz w:val="24"/>
          <w:szCs w:val="24"/>
        </w:rPr>
      </w:pPr>
      <w:r>
        <w:rPr>
          <w:rFonts w:ascii="Times New Roman" w:hAnsi="Times New Roman" w:cs="Times New Roman"/>
          <w:sz w:val="24"/>
          <w:szCs w:val="24"/>
        </w:rPr>
        <w:t>Reported crime levels within the District remained low throughout the quarter. No cases of rape, armed robbery, murder, drug trafficking, peddling, drug abuse, or domestic violence were recorded during the reporting period. Only isolated cases of defilement were recorded previously, but none occurred during the First Quarter of 2026. This suggests continued collaboration between security agencies and the District Assembly in maintaining peace and security.</w:t>
      </w:r>
    </w:p>
    <w:p w14:paraId="169EAF1C">
      <w:pPr>
        <w:spacing w:line="360" w:lineRule="auto"/>
        <w:jc w:val="both"/>
        <w:rPr>
          <w:rFonts w:ascii="Times New Roman" w:hAnsi="Times New Roman" w:cs="Times New Roman"/>
          <w:sz w:val="24"/>
          <w:szCs w:val="24"/>
        </w:rPr>
      </w:pPr>
      <w:r>
        <w:rPr>
          <w:rFonts w:ascii="Times New Roman" w:hAnsi="Times New Roman" w:cs="Times New Roman"/>
          <w:sz w:val="24"/>
          <w:szCs w:val="24"/>
        </w:rPr>
        <w:t>Child protection indicators showed relatively low levels of abuse and neglect during the quarter. No cases of child trafficking, sexual abuse, early marriage, female genital mutilation, or child labour were recorded. However, one case each of emotional abuse and family-child separation were reported during the quarter under review.</w:t>
      </w:r>
    </w:p>
    <w:p w14:paraId="60B0792C">
      <w:pPr>
        <w:spacing w:line="360" w:lineRule="auto"/>
        <w:jc w:val="both"/>
        <w:rPr>
          <w:rFonts w:ascii="Times New Roman" w:hAnsi="Times New Roman" w:cs="Times New Roman"/>
          <w:sz w:val="24"/>
          <w:szCs w:val="24"/>
        </w:rPr>
      </w:pPr>
      <w:r>
        <w:rPr>
          <w:rFonts w:ascii="Times New Roman" w:hAnsi="Times New Roman" w:cs="Times New Roman"/>
          <w:sz w:val="24"/>
          <w:szCs w:val="24"/>
        </w:rPr>
        <w:t>The District recorded no major disaster incidents during the quarter. No cases of bushfires, floods, or wind and rainstorms were reported, indicating relatively stable environmental and climatic conditions during the period.</w:t>
      </w:r>
    </w:p>
    <w:p w14:paraId="6D256912">
      <w:pPr>
        <w:spacing w:line="360" w:lineRule="auto"/>
        <w:jc w:val="both"/>
        <w:rPr>
          <w:rFonts w:ascii="Times New Roman" w:hAnsi="Times New Roman" w:cs="Times New Roman"/>
          <w:sz w:val="24"/>
          <w:szCs w:val="24"/>
        </w:rPr>
      </w:pPr>
      <w:r>
        <w:rPr>
          <w:rFonts w:ascii="Times New Roman" w:hAnsi="Times New Roman" w:cs="Times New Roman"/>
          <w:sz w:val="24"/>
          <w:szCs w:val="24"/>
        </w:rPr>
        <w:t>The percentage implementation of the Annual Action Plan stood at 40.70 percent during the First Quarter of 2026 against an annual target of 100 percent. This reflects moderate progress in programme and project implementation within the District during the reporting period.</w:t>
      </w:r>
    </w:p>
    <w:p w14:paraId="4F3CBA72">
      <w:pPr>
        <w:spacing w:line="360" w:lineRule="auto"/>
        <w:jc w:val="both"/>
        <w:rPr>
          <w:rFonts w:ascii="Times New Roman" w:hAnsi="Times New Roman" w:cs="Times New Roman"/>
          <w:sz w:val="24"/>
          <w:szCs w:val="24"/>
        </w:rPr>
      </w:pPr>
      <w:r>
        <w:rPr>
          <w:rFonts w:ascii="Times New Roman" w:hAnsi="Times New Roman" w:cs="Times New Roman"/>
          <w:sz w:val="24"/>
          <w:szCs w:val="24"/>
        </w:rPr>
        <w:t>The governance and security conditions within the District remained stable, with low crime rates, minimal disaster occurrences, and steady implementation of planned interventions during the quarter under review.</w:t>
      </w:r>
    </w:p>
    <w:p w14:paraId="4BCAA4AF">
      <w:pPr>
        <w:pStyle w:val="33"/>
        <w:rPr>
          <w:rFonts w:ascii="Times New Roman" w:hAnsi="Times New Roman"/>
          <w:i w:val="0"/>
          <w:iCs w:val="0"/>
          <w:sz w:val="24"/>
          <w:szCs w:val="24"/>
        </w:rPr>
      </w:pPr>
      <w:r>
        <w:rPr>
          <w:rFonts w:ascii="Times New Roman" w:hAnsi="Times New Roman"/>
          <w:i w:val="0"/>
          <w:iCs w:val="0"/>
          <w:sz w:val="24"/>
          <w:szCs w:val="24"/>
        </w:rPr>
        <w:t xml:space="preserve">2.6 Update on Critical Development and Poverty Issues </w:t>
      </w:r>
    </w:p>
    <w:p w14:paraId="381CAADC">
      <w:pPr>
        <w:spacing w:before="240" w:after="6" w:line="360" w:lineRule="auto"/>
        <w:ind w:left="-5" w:right="247" w:hanging="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alleviation of poverty in the Birim North District remains central to the Assembly’s mandate of promoting inclusive growth and improving the living conditions of its residents. Addressing critical development and poverty-related issues is therefore a key priority of the Assembly, as these interventions help tackle cross-cutting development challenges and reduce inequalities among the population. These initiatives also provide strategic direction for development planning and implementation, particularly in supporting poverty reduction efforts in line with Goal 1 of the Sustainable Development Goals (SDGs).</w:t>
      </w:r>
    </w:p>
    <w:p w14:paraId="3ED3993B">
      <w:pPr>
        <w:spacing w:before="240" w:after="6" w:line="360" w:lineRule="auto"/>
        <w:ind w:left="-5" w:right="247" w:hanging="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2.6 presents a summary of the District’s interventions aimed at addressing these critical issues. The table highlights the various development areas, budget allocations, actual receipts, and the number of beneficiaries reached during the reporting period. The Assembly continues to track and report on programmes implemented within the District where activities have commenced and beneficiaries have been identified.</w:t>
      </w:r>
    </w:p>
    <w:p w14:paraId="56AA4812">
      <w:pPr>
        <w:spacing w:before="240" w:after="6" w:line="360" w:lineRule="auto"/>
        <w:ind w:left="-5" w:right="247" w:hanging="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It should be noted that in some instances, data on certain national programmes implemented within the District may need to be sourced from central institutions, which may require additional time for validation. Nevertheless, Table 17 below, provides an overview of the progress made in addressing critical development and poverty challenges within the District during the period under review.</w:t>
      </w:r>
    </w:p>
    <w:p w14:paraId="5D9BB9FF">
      <w:pPr>
        <w:pStyle w:val="8"/>
        <w:keepNext/>
        <w:spacing w:before="240"/>
        <w:rPr>
          <w:b/>
          <w:bCs/>
          <w:color w:val="auto"/>
          <w:sz w:val="20"/>
          <w:szCs w:val="20"/>
        </w:rPr>
      </w:pPr>
      <w:bookmarkStart w:id="94" w:name="_Toc224427343"/>
      <w:bookmarkStart w:id="95" w:name="_Toc229970434"/>
      <w:r>
        <w:rPr>
          <w:b/>
          <w:bCs/>
          <w:color w:val="auto"/>
          <w:sz w:val="20"/>
          <w:szCs w:val="20"/>
        </w:rPr>
        <w:t xml:space="preserve">Table </w:t>
      </w:r>
      <w:r>
        <w:rPr>
          <w:b/>
          <w:bCs/>
          <w:color w:val="auto"/>
          <w:sz w:val="20"/>
          <w:szCs w:val="20"/>
        </w:rPr>
        <w:fldChar w:fldCharType="begin"/>
      </w:r>
      <w:r>
        <w:rPr>
          <w:b/>
          <w:bCs/>
          <w:color w:val="auto"/>
          <w:sz w:val="20"/>
          <w:szCs w:val="20"/>
        </w:rPr>
        <w:instrText xml:space="preserve"> SEQ Table \* ARABIC </w:instrText>
      </w:r>
      <w:r>
        <w:rPr>
          <w:b/>
          <w:bCs/>
          <w:color w:val="auto"/>
          <w:sz w:val="20"/>
          <w:szCs w:val="20"/>
        </w:rPr>
        <w:fldChar w:fldCharType="separate"/>
      </w:r>
      <w:r>
        <w:rPr>
          <w:b/>
          <w:bCs/>
          <w:color w:val="auto"/>
          <w:sz w:val="20"/>
          <w:szCs w:val="20"/>
        </w:rPr>
        <w:t>8</w:t>
      </w:r>
      <w:r>
        <w:rPr>
          <w:b/>
          <w:bCs/>
          <w:color w:val="auto"/>
          <w:sz w:val="20"/>
          <w:szCs w:val="20"/>
        </w:rPr>
        <w:fldChar w:fldCharType="end"/>
      </w:r>
      <w:r>
        <w:rPr>
          <w:b/>
          <w:bCs/>
          <w:color w:val="auto"/>
          <w:sz w:val="20"/>
          <w:szCs w:val="20"/>
        </w:rPr>
        <w:t>: Update on Critical Development and Poverty Issues in the District – First Quarter 202</w:t>
      </w:r>
      <w:bookmarkEnd w:id="94"/>
      <w:r>
        <w:rPr>
          <w:b/>
          <w:bCs/>
          <w:color w:val="auto"/>
          <w:sz w:val="20"/>
          <w:szCs w:val="20"/>
        </w:rPr>
        <w:t>6</w:t>
      </w:r>
      <w:bookmarkEnd w:id="95"/>
    </w:p>
    <w:tbl>
      <w:tblPr>
        <w:tblStyle w:val="6"/>
        <w:tblW w:w="11344" w:type="dxa"/>
        <w:jc w:val="center"/>
        <w:tblLayout w:type="fixed"/>
        <w:tblCellMar>
          <w:top w:w="0" w:type="dxa"/>
          <w:left w:w="108" w:type="dxa"/>
          <w:bottom w:w="0" w:type="dxa"/>
          <w:right w:w="108" w:type="dxa"/>
        </w:tblCellMar>
      </w:tblPr>
      <w:tblGrid>
        <w:gridCol w:w="628"/>
        <w:gridCol w:w="4329"/>
        <w:gridCol w:w="1536"/>
        <w:gridCol w:w="1718"/>
        <w:gridCol w:w="1631"/>
        <w:gridCol w:w="1490"/>
        <w:gridCol w:w="12"/>
      </w:tblGrid>
      <w:tr w14:paraId="28074540">
        <w:tblPrEx>
          <w:tblCellMar>
            <w:top w:w="0" w:type="dxa"/>
            <w:left w:w="108" w:type="dxa"/>
            <w:bottom w:w="0" w:type="dxa"/>
            <w:right w:w="108" w:type="dxa"/>
          </w:tblCellMar>
        </w:tblPrEx>
        <w:trPr>
          <w:gridAfter w:val="1"/>
          <w:wAfter w:w="12" w:type="dxa"/>
          <w:trHeight w:val="596" w:hRule="atLeast"/>
          <w:jc w:val="center"/>
        </w:trPr>
        <w:tc>
          <w:tcPr>
            <w:tcW w:w="628" w:type="dxa"/>
            <w:vMerge w:val="restart"/>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3A3B5536">
            <w:pPr>
              <w:spacing w:after="0" w:line="240" w:lineRule="auto"/>
              <w:jc w:val="center"/>
              <w:rPr>
                <w:rFonts w:ascii="Times New Roman" w:hAnsi="Times New Roman" w:cs="Times New Roman"/>
              </w:rPr>
            </w:pPr>
            <w:r>
              <w:rPr>
                <w:rFonts w:ascii="Times New Roman" w:hAnsi="Times New Roman" w:cs="Times New Roman"/>
              </w:rPr>
              <w:t>No</w:t>
            </w:r>
          </w:p>
        </w:tc>
        <w:tc>
          <w:tcPr>
            <w:tcW w:w="4329" w:type="dxa"/>
            <w:vMerge w:val="restart"/>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1140CFD6">
            <w:pPr>
              <w:spacing w:after="0" w:line="240" w:lineRule="auto"/>
              <w:jc w:val="center"/>
              <w:rPr>
                <w:rFonts w:ascii="Times New Roman" w:hAnsi="Times New Roman" w:cs="Times New Roman"/>
                <w:b/>
                <w:bCs/>
              </w:rPr>
            </w:pPr>
            <w:r>
              <w:rPr>
                <w:rFonts w:ascii="Times New Roman" w:hAnsi="Times New Roman" w:cs="Times New Roman"/>
                <w:b/>
                <w:lang w:val="en-GB"/>
              </w:rPr>
              <w:t>Critical Development and Poverty</w:t>
            </w:r>
          </w:p>
        </w:tc>
        <w:tc>
          <w:tcPr>
            <w:tcW w:w="1536" w:type="dxa"/>
            <w:vMerge w:val="restart"/>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7E7208B3">
            <w:pPr>
              <w:spacing w:after="0" w:line="240" w:lineRule="auto"/>
              <w:jc w:val="center"/>
              <w:rPr>
                <w:rFonts w:ascii="Times New Roman" w:hAnsi="Times New Roman" w:cs="Times New Roman"/>
                <w:b/>
                <w:lang w:val="en-GB"/>
              </w:rPr>
            </w:pPr>
            <w:r>
              <w:rPr>
                <w:rFonts w:ascii="Times New Roman" w:hAnsi="Times New Roman" w:cs="Times New Roman"/>
                <w:b/>
                <w:lang w:val="en-GB"/>
              </w:rPr>
              <w:t>Allocation (GHs)</w:t>
            </w:r>
          </w:p>
        </w:tc>
        <w:tc>
          <w:tcPr>
            <w:tcW w:w="1718" w:type="dxa"/>
            <w:vMerge w:val="restart"/>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77C4B190">
            <w:pPr>
              <w:spacing w:after="0" w:line="240" w:lineRule="auto"/>
              <w:jc w:val="center"/>
              <w:rPr>
                <w:rFonts w:ascii="Times New Roman" w:hAnsi="Times New Roman" w:cs="Times New Roman"/>
                <w:b/>
                <w:lang w:val="en-GB"/>
              </w:rPr>
            </w:pPr>
            <w:r>
              <w:rPr>
                <w:rFonts w:ascii="Times New Roman" w:hAnsi="Times New Roman" w:cs="Times New Roman"/>
                <w:b/>
                <w:lang w:val="en-GB"/>
              </w:rPr>
              <w:t>Actual Receipt</w:t>
            </w:r>
          </w:p>
          <w:p w14:paraId="4FDCC8F0">
            <w:pPr>
              <w:spacing w:after="0" w:line="240" w:lineRule="auto"/>
              <w:jc w:val="center"/>
              <w:rPr>
                <w:rFonts w:ascii="Times New Roman" w:hAnsi="Times New Roman" w:cs="Times New Roman"/>
                <w:b/>
                <w:lang w:val="en-GB"/>
              </w:rPr>
            </w:pPr>
            <w:r>
              <w:rPr>
                <w:rFonts w:ascii="Times New Roman" w:hAnsi="Times New Roman" w:cs="Times New Roman"/>
                <w:b/>
                <w:lang w:val="en-GB"/>
              </w:rPr>
              <w:t>(GHs)</w:t>
            </w:r>
          </w:p>
        </w:tc>
        <w:tc>
          <w:tcPr>
            <w:tcW w:w="3121"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6415811E">
            <w:pPr>
              <w:spacing w:after="0" w:line="240" w:lineRule="auto"/>
              <w:jc w:val="center"/>
              <w:rPr>
                <w:rFonts w:ascii="Times New Roman" w:hAnsi="Times New Roman" w:cs="Times New Roman"/>
                <w:b/>
                <w:lang w:val="en-GB"/>
              </w:rPr>
            </w:pPr>
            <w:r>
              <w:rPr>
                <w:rFonts w:ascii="Times New Roman" w:hAnsi="Times New Roman" w:cs="Times New Roman"/>
                <w:b/>
                <w:lang w:val="en-GB"/>
              </w:rPr>
              <w:t>No of beneficiaries</w:t>
            </w:r>
          </w:p>
        </w:tc>
      </w:tr>
      <w:tr w14:paraId="3149BBFE">
        <w:tblPrEx>
          <w:tblCellMar>
            <w:top w:w="0" w:type="dxa"/>
            <w:left w:w="108" w:type="dxa"/>
            <w:bottom w:w="0" w:type="dxa"/>
            <w:right w:w="108" w:type="dxa"/>
          </w:tblCellMar>
        </w:tblPrEx>
        <w:trPr>
          <w:gridAfter w:val="1"/>
          <w:wAfter w:w="12" w:type="dxa"/>
          <w:trHeight w:val="111"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14:paraId="39F86A90">
            <w:pPr>
              <w:spacing w:after="0" w:line="240" w:lineRule="auto"/>
              <w:jc w:val="center"/>
              <w:rPr>
                <w:rFonts w:ascii="Times New Roman" w:hAnsi="Times New Roman" w:cs="Times New Roman"/>
              </w:rPr>
            </w:pPr>
          </w:p>
        </w:tc>
        <w:tc>
          <w:tcPr>
            <w:tcW w:w="4329" w:type="dxa"/>
            <w:vMerge w:val="continue"/>
            <w:tcBorders>
              <w:top w:val="single" w:color="auto" w:sz="4" w:space="0"/>
              <w:left w:val="single" w:color="auto" w:sz="4" w:space="0"/>
              <w:bottom w:val="single" w:color="auto" w:sz="4" w:space="0"/>
              <w:right w:val="single" w:color="auto" w:sz="4" w:space="0"/>
            </w:tcBorders>
            <w:vAlign w:val="center"/>
          </w:tcPr>
          <w:p w14:paraId="0A1CE6A4">
            <w:pPr>
              <w:spacing w:after="0" w:line="240" w:lineRule="auto"/>
              <w:jc w:val="center"/>
              <w:rPr>
                <w:rFonts w:ascii="Times New Roman" w:hAnsi="Times New Roman" w:cs="Times New Roman"/>
                <w:b/>
                <w:bCs/>
              </w:rPr>
            </w:pPr>
          </w:p>
        </w:tc>
        <w:tc>
          <w:tcPr>
            <w:tcW w:w="1536" w:type="dxa"/>
            <w:vMerge w:val="continue"/>
            <w:tcBorders>
              <w:top w:val="single" w:color="auto" w:sz="4" w:space="0"/>
              <w:left w:val="single" w:color="auto" w:sz="4" w:space="0"/>
              <w:bottom w:val="single" w:color="auto" w:sz="4" w:space="0"/>
              <w:right w:val="single" w:color="auto" w:sz="4" w:space="0"/>
            </w:tcBorders>
            <w:vAlign w:val="center"/>
          </w:tcPr>
          <w:p w14:paraId="11C8CA44">
            <w:pPr>
              <w:spacing w:after="0" w:line="240" w:lineRule="auto"/>
              <w:jc w:val="center"/>
              <w:rPr>
                <w:rFonts w:ascii="Times New Roman" w:hAnsi="Times New Roman" w:cs="Times New Roman"/>
                <w:b/>
                <w:lang w:val="en-GB"/>
              </w:rPr>
            </w:pPr>
          </w:p>
        </w:tc>
        <w:tc>
          <w:tcPr>
            <w:tcW w:w="1718" w:type="dxa"/>
            <w:vMerge w:val="continue"/>
            <w:tcBorders>
              <w:top w:val="single" w:color="auto" w:sz="4" w:space="0"/>
              <w:left w:val="single" w:color="auto" w:sz="4" w:space="0"/>
              <w:bottom w:val="single" w:color="auto" w:sz="4" w:space="0"/>
              <w:right w:val="single" w:color="auto" w:sz="4" w:space="0"/>
            </w:tcBorders>
            <w:vAlign w:val="center"/>
          </w:tcPr>
          <w:p w14:paraId="5F045E61">
            <w:pPr>
              <w:spacing w:after="0" w:line="240" w:lineRule="auto"/>
              <w:jc w:val="center"/>
              <w:rPr>
                <w:rFonts w:ascii="Times New Roman" w:hAnsi="Times New Roman" w:cs="Times New Roman"/>
                <w:b/>
                <w:lang w:val="en-GB"/>
              </w:rPr>
            </w:pPr>
          </w:p>
        </w:tc>
        <w:tc>
          <w:tcPr>
            <w:tcW w:w="1631"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45A59A9C">
            <w:pPr>
              <w:spacing w:after="0" w:line="240" w:lineRule="auto"/>
              <w:jc w:val="center"/>
              <w:rPr>
                <w:rFonts w:ascii="Times New Roman" w:hAnsi="Times New Roman" w:cs="Times New Roman"/>
                <w:b/>
                <w:lang w:bidi="en-US"/>
              </w:rPr>
            </w:pPr>
            <w:r>
              <w:rPr>
                <w:rFonts w:ascii="Times New Roman" w:hAnsi="Times New Roman" w:cs="Times New Roman"/>
                <w:b/>
                <w:lang w:bidi="en-US"/>
              </w:rPr>
              <w:t>Targets</w:t>
            </w:r>
          </w:p>
        </w:tc>
        <w:tc>
          <w:tcPr>
            <w:tcW w:w="1490"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14:paraId="7D2937AC">
            <w:pPr>
              <w:spacing w:after="0" w:line="240" w:lineRule="auto"/>
              <w:jc w:val="center"/>
              <w:rPr>
                <w:rFonts w:ascii="Times New Roman" w:hAnsi="Times New Roman" w:cs="Times New Roman"/>
                <w:b/>
                <w:lang w:bidi="en-US"/>
              </w:rPr>
            </w:pPr>
            <w:r>
              <w:rPr>
                <w:rFonts w:ascii="Times New Roman" w:hAnsi="Times New Roman" w:cs="Times New Roman"/>
                <w:b/>
                <w:lang w:bidi="en-US"/>
              </w:rPr>
              <w:t>Actuals</w:t>
            </w:r>
          </w:p>
        </w:tc>
      </w:tr>
      <w:tr w14:paraId="6F717994">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4BDD883">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228003E">
            <w:pPr>
              <w:spacing w:after="0" w:line="240" w:lineRule="auto"/>
              <w:rPr>
                <w:rFonts w:ascii="Times New Roman" w:hAnsi="Times New Roman" w:cs="Times New Roman"/>
              </w:rPr>
            </w:pPr>
            <w:r>
              <w:rPr>
                <w:rFonts w:ascii="Times New Roman" w:hAnsi="Times New Roman" w:cs="Times New Roman"/>
              </w:rPr>
              <w:t>Ghana School Feeding Programme</w:t>
            </w:r>
          </w:p>
        </w:tc>
        <w:tc>
          <w:tcPr>
            <w:tcW w:w="1536" w:type="dxa"/>
            <w:tcBorders>
              <w:top w:val="single" w:color="auto" w:sz="4" w:space="0"/>
              <w:left w:val="single" w:color="auto" w:sz="4" w:space="0"/>
              <w:bottom w:val="single" w:color="auto" w:sz="4" w:space="0"/>
              <w:right w:val="single" w:color="auto" w:sz="4" w:space="0"/>
            </w:tcBorders>
            <w:vAlign w:val="center"/>
          </w:tcPr>
          <w:p w14:paraId="439E1EAB">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39,684.00</w:t>
            </w:r>
          </w:p>
        </w:tc>
        <w:tc>
          <w:tcPr>
            <w:tcW w:w="1718" w:type="dxa"/>
            <w:tcBorders>
              <w:top w:val="single" w:color="auto" w:sz="4" w:space="0"/>
              <w:left w:val="single" w:color="auto" w:sz="4" w:space="0"/>
              <w:bottom w:val="single" w:color="auto" w:sz="4" w:space="0"/>
              <w:right w:val="single" w:color="auto" w:sz="4" w:space="0"/>
            </w:tcBorders>
            <w:vAlign w:val="center"/>
          </w:tcPr>
          <w:p w14:paraId="240B5F4A">
            <w:pPr>
              <w:spacing w:line="240" w:lineRule="auto"/>
              <w:jc w:val="center"/>
              <w:rPr>
                <w:rFonts w:ascii="Times New Roman" w:hAnsi="Times New Roman" w:eastAsia="Times New Roman" w:cs="Times New Roman"/>
              </w:rPr>
            </w:pPr>
            <w:r>
              <w:rPr>
                <w:rFonts w:ascii="Times New Roman" w:hAnsi="Times New Roman" w:cs="Times New Roman"/>
              </w:rPr>
              <w:t>38493.48</w:t>
            </w:r>
          </w:p>
        </w:tc>
        <w:tc>
          <w:tcPr>
            <w:tcW w:w="1631" w:type="dxa"/>
            <w:tcBorders>
              <w:top w:val="single" w:color="auto" w:sz="4" w:space="0"/>
              <w:left w:val="single" w:color="auto" w:sz="4" w:space="0"/>
              <w:bottom w:val="single" w:color="auto" w:sz="4" w:space="0"/>
              <w:right w:val="single" w:color="auto" w:sz="4" w:space="0"/>
            </w:tcBorders>
            <w:vAlign w:val="center"/>
          </w:tcPr>
          <w:p w14:paraId="63535333">
            <w:pPr>
              <w:spacing w:before="240" w:line="240" w:lineRule="auto"/>
              <w:jc w:val="center"/>
              <w:rPr>
                <w:rFonts w:ascii="Times New Roman" w:hAnsi="Times New Roman" w:eastAsia="Calibri" w:cs="Times New Roman"/>
                <w:sz w:val="20"/>
                <w:szCs w:val="20"/>
              </w:rPr>
            </w:pPr>
            <w:r>
              <w:rPr>
                <w:rFonts w:ascii="Times New Roman" w:hAnsi="Times New Roman" w:cs="Times New Roman"/>
                <w:sz w:val="20"/>
                <w:szCs w:val="20"/>
              </w:rPr>
              <w:t>6,614</w:t>
            </w:r>
          </w:p>
        </w:tc>
        <w:tc>
          <w:tcPr>
            <w:tcW w:w="1490" w:type="dxa"/>
            <w:tcBorders>
              <w:top w:val="single" w:color="auto" w:sz="4" w:space="0"/>
              <w:left w:val="single" w:color="auto" w:sz="4" w:space="0"/>
              <w:bottom w:val="single" w:color="auto" w:sz="4" w:space="0"/>
              <w:right w:val="single" w:color="auto" w:sz="4" w:space="0"/>
            </w:tcBorders>
            <w:vAlign w:val="center"/>
          </w:tcPr>
          <w:p w14:paraId="0EABCA02">
            <w:pPr>
              <w:spacing w:before="240" w:line="240" w:lineRule="auto"/>
              <w:jc w:val="center"/>
              <w:rPr>
                <w:rFonts w:ascii="Times New Roman" w:hAnsi="Times New Roman" w:eastAsia="Calibri" w:cs="Times New Roman"/>
                <w:sz w:val="20"/>
                <w:szCs w:val="20"/>
              </w:rPr>
            </w:pPr>
            <w:r>
              <w:rPr>
                <w:rFonts w:ascii="Times New Roman" w:hAnsi="Times New Roman" w:cs="Times New Roman"/>
                <w:sz w:val="20"/>
                <w:szCs w:val="20"/>
              </w:rPr>
              <w:t>6,614</w:t>
            </w:r>
          </w:p>
        </w:tc>
      </w:tr>
      <w:tr w14:paraId="58A31896">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F520E36">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9F819BD">
            <w:pPr>
              <w:spacing w:after="0" w:line="240" w:lineRule="auto"/>
              <w:rPr>
                <w:rFonts w:ascii="Times New Roman" w:hAnsi="Times New Roman" w:cs="Times New Roman"/>
              </w:rPr>
            </w:pPr>
            <w:r>
              <w:rPr>
                <w:rFonts w:ascii="Times New Roman" w:hAnsi="Times New Roman" w:cs="Times New Roman"/>
              </w:rPr>
              <w:t>National Health Insurance Scheme</w:t>
            </w:r>
          </w:p>
        </w:tc>
        <w:tc>
          <w:tcPr>
            <w:tcW w:w="1536" w:type="dxa"/>
            <w:tcBorders>
              <w:top w:val="single" w:color="auto" w:sz="4" w:space="0"/>
              <w:left w:val="single" w:color="auto" w:sz="4" w:space="0"/>
              <w:bottom w:val="single" w:color="auto" w:sz="4" w:space="0"/>
              <w:right w:val="single" w:color="auto" w:sz="4" w:space="0"/>
            </w:tcBorders>
            <w:vAlign w:val="center"/>
          </w:tcPr>
          <w:p w14:paraId="7E0045B1">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6B7E95ED">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724AA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85,000</w:t>
            </w:r>
          </w:p>
        </w:tc>
        <w:tc>
          <w:tcPr>
            <w:tcW w:w="1490" w:type="dxa"/>
            <w:tcBorders>
              <w:top w:val="single" w:color="auto" w:sz="4" w:space="0"/>
              <w:left w:val="single" w:color="auto" w:sz="4" w:space="0"/>
              <w:bottom w:val="single" w:color="auto" w:sz="4" w:space="0"/>
              <w:right w:val="single" w:color="auto" w:sz="4" w:space="0"/>
            </w:tcBorders>
            <w:vAlign w:val="center"/>
          </w:tcPr>
          <w:p w14:paraId="3491C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18,685</w:t>
            </w:r>
          </w:p>
        </w:tc>
      </w:tr>
      <w:tr w14:paraId="3CE4C05D">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3F32570">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1EFDF3B">
            <w:pPr>
              <w:spacing w:after="0" w:line="240" w:lineRule="auto"/>
              <w:rPr>
                <w:rFonts w:ascii="Times New Roman" w:hAnsi="Times New Roman" w:cs="Times New Roman"/>
              </w:rPr>
            </w:pPr>
            <w:r>
              <w:rPr>
                <w:rFonts w:ascii="Times New Roman" w:hAnsi="Times New Roman" w:cs="Times New Roman"/>
              </w:rPr>
              <w:t>Capitation Grants</w:t>
            </w:r>
          </w:p>
        </w:tc>
        <w:tc>
          <w:tcPr>
            <w:tcW w:w="1536" w:type="dxa"/>
            <w:tcBorders>
              <w:top w:val="single" w:color="auto" w:sz="4" w:space="0"/>
              <w:left w:val="single" w:color="auto" w:sz="4" w:space="0"/>
              <w:bottom w:val="single" w:color="auto" w:sz="4" w:space="0"/>
              <w:right w:val="single" w:color="auto" w:sz="4" w:space="0"/>
            </w:tcBorders>
            <w:vAlign w:val="center"/>
          </w:tcPr>
          <w:p w14:paraId="0A538D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718" w:type="dxa"/>
            <w:tcBorders>
              <w:top w:val="single" w:color="auto" w:sz="4" w:space="0"/>
              <w:left w:val="single" w:color="auto" w:sz="4" w:space="0"/>
              <w:bottom w:val="single" w:color="auto" w:sz="4" w:space="0"/>
              <w:right w:val="single" w:color="auto" w:sz="4" w:space="0"/>
            </w:tcBorders>
            <w:vAlign w:val="center"/>
          </w:tcPr>
          <w:p w14:paraId="427AD5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631" w:type="dxa"/>
            <w:tcBorders>
              <w:top w:val="single" w:color="auto" w:sz="4" w:space="0"/>
              <w:left w:val="single" w:color="auto" w:sz="4" w:space="0"/>
              <w:bottom w:val="single" w:color="auto" w:sz="4" w:space="0"/>
              <w:right w:val="single" w:color="auto" w:sz="4" w:space="0"/>
            </w:tcBorders>
            <w:vAlign w:val="center"/>
          </w:tcPr>
          <w:p w14:paraId="7D5167B4">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16,633</w:t>
            </w:r>
          </w:p>
        </w:tc>
        <w:tc>
          <w:tcPr>
            <w:tcW w:w="1490" w:type="dxa"/>
            <w:tcBorders>
              <w:top w:val="single" w:color="auto" w:sz="4" w:space="0"/>
              <w:left w:val="single" w:color="auto" w:sz="4" w:space="0"/>
              <w:bottom w:val="single" w:color="auto" w:sz="4" w:space="0"/>
              <w:right w:val="single" w:color="auto" w:sz="4" w:space="0"/>
            </w:tcBorders>
            <w:vAlign w:val="center"/>
          </w:tcPr>
          <w:p w14:paraId="3704595B">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16,633</w:t>
            </w:r>
          </w:p>
        </w:tc>
      </w:tr>
      <w:tr w14:paraId="22274F45">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EB4947D">
            <w:pPr>
              <w:pStyle w:val="24"/>
              <w:numPr>
                <w:ilvl w:val="0"/>
                <w:numId w:val="27"/>
              </w:numPr>
              <w:spacing w:after="0" w:line="240" w:lineRule="auto"/>
              <w:rPr>
                <w:rFonts w:ascii="Times New Roman" w:hAnsi="Times New Roman" w:cs="Times New Roman"/>
                <w: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0B15E0B">
            <w:pPr>
              <w:spacing w:after="0" w:line="240" w:lineRule="auto"/>
              <w:rPr>
                <w:rFonts w:ascii="Times New Roman" w:hAnsi="Times New Roman" w:cs="Times New Roman"/>
              </w:rPr>
            </w:pPr>
            <w:r>
              <w:rPr>
                <w:rFonts w:ascii="Times New Roman" w:hAnsi="Times New Roman" w:cs="Times New Roman"/>
              </w:rPr>
              <w:t>Livelihood Empowerment Against Poverty (LEAP) programme</w:t>
            </w:r>
          </w:p>
        </w:tc>
        <w:tc>
          <w:tcPr>
            <w:tcW w:w="1536" w:type="dxa"/>
            <w:tcBorders>
              <w:top w:val="single" w:color="auto" w:sz="4" w:space="0"/>
              <w:left w:val="single" w:color="auto" w:sz="4" w:space="0"/>
              <w:bottom w:val="single" w:color="auto" w:sz="4" w:space="0"/>
              <w:right w:val="single" w:color="auto" w:sz="4" w:space="0"/>
            </w:tcBorders>
            <w:vAlign w:val="center"/>
          </w:tcPr>
          <w:p w14:paraId="0F71B5A6">
            <w:pPr>
              <w:spacing w:after="0" w:line="240" w:lineRule="auto"/>
              <w:jc w:val="center"/>
              <w:rPr>
                <w:rFonts w:ascii="Times New Roman" w:hAnsi="Times New Roman" w:cs="Times New Roman"/>
                <w:sz w:val="20"/>
                <w:szCs w:val="20"/>
              </w:rPr>
            </w:pPr>
            <w:r>
              <w:rPr>
                <w:rFonts w:ascii="Times New Roman" w:hAnsi="Times New Roman" w:cs="Times New Roman"/>
                <w:szCs w:val="18"/>
                <w:lang w:val="en-GB" w:eastAsia="en-GB"/>
              </w:rPr>
              <w:t>46,200.00</w:t>
            </w:r>
          </w:p>
        </w:tc>
        <w:tc>
          <w:tcPr>
            <w:tcW w:w="1718" w:type="dxa"/>
            <w:tcBorders>
              <w:top w:val="single" w:color="auto" w:sz="4" w:space="0"/>
              <w:left w:val="single" w:color="auto" w:sz="4" w:space="0"/>
              <w:bottom w:val="single" w:color="auto" w:sz="4" w:space="0"/>
              <w:right w:val="single" w:color="auto" w:sz="4" w:space="0"/>
            </w:tcBorders>
            <w:vAlign w:val="center"/>
          </w:tcPr>
          <w:p w14:paraId="18525921">
            <w:pPr>
              <w:spacing w:after="0" w:line="240" w:lineRule="auto"/>
              <w:jc w:val="center"/>
              <w:rPr>
                <w:rFonts w:ascii="Times New Roman" w:hAnsi="Times New Roman" w:cs="Times New Roman"/>
                <w:sz w:val="20"/>
                <w:szCs w:val="20"/>
              </w:rPr>
            </w:pPr>
            <w:r>
              <w:rPr>
                <w:rFonts w:ascii="Times New Roman" w:hAnsi="Times New Roman" w:cs="Times New Roman"/>
                <w:szCs w:val="18"/>
                <w:lang w:val="en-GB" w:eastAsia="en-GB"/>
              </w:rPr>
              <w:t>46,200.00</w:t>
            </w:r>
          </w:p>
        </w:tc>
        <w:tc>
          <w:tcPr>
            <w:tcW w:w="1631" w:type="dxa"/>
            <w:tcBorders>
              <w:top w:val="single" w:color="auto" w:sz="4" w:space="0"/>
              <w:left w:val="single" w:color="auto" w:sz="4" w:space="0"/>
              <w:bottom w:val="single" w:color="auto" w:sz="4" w:space="0"/>
              <w:right w:val="single" w:color="auto" w:sz="4" w:space="0"/>
            </w:tcBorders>
            <w:vAlign w:val="center"/>
          </w:tcPr>
          <w:p w14:paraId="2A3206D4">
            <w:pPr>
              <w:spacing w:line="240" w:lineRule="auto"/>
              <w:jc w:val="center"/>
              <w:rPr>
                <w:rFonts w:ascii="Times New Roman" w:hAnsi="Times New Roman" w:cs="Times New Roman"/>
              </w:rPr>
            </w:pPr>
            <w:r>
              <w:rPr>
                <w:rFonts w:ascii="Times New Roman" w:hAnsi="Times New Roman" w:eastAsia="Calibri" w:cs="Times New Roman"/>
                <w:sz w:val="24"/>
                <w:szCs w:val="24"/>
              </w:rPr>
              <w:t>107</w:t>
            </w:r>
          </w:p>
        </w:tc>
        <w:tc>
          <w:tcPr>
            <w:tcW w:w="1490" w:type="dxa"/>
            <w:tcBorders>
              <w:top w:val="single" w:color="auto" w:sz="4" w:space="0"/>
              <w:left w:val="single" w:color="auto" w:sz="4" w:space="0"/>
              <w:bottom w:val="single" w:color="auto" w:sz="4" w:space="0"/>
              <w:right w:val="single" w:color="auto" w:sz="4" w:space="0"/>
            </w:tcBorders>
            <w:vAlign w:val="center"/>
          </w:tcPr>
          <w:p w14:paraId="5C3CC390">
            <w:pPr>
              <w:spacing w:line="240" w:lineRule="auto"/>
              <w:jc w:val="center"/>
              <w:rPr>
                <w:rFonts w:ascii="Times New Roman" w:hAnsi="Times New Roman" w:cs="Times New Roman"/>
              </w:rPr>
            </w:pPr>
            <w:r>
              <w:rPr>
                <w:rFonts w:ascii="Times New Roman" w:hAnsi="Times New Roman" w:eastAsia="Calibri" w:cs="Times New Roman"/>
                <w:sz w:val="24"/>
                <w:szCs w:val="24"/>
              </w:rPr>
              <w:t>107</w:t>
            </w:r>
          </w:p>
        </w:tc>
      </w:tr>
      <w:tr w14:paraId="27A258A9">
        <w:tblPrEx>
          <w:tblCellMar>
            <w:top w:w="0" w:type="dxa"/>
            <w:left w:w="108" w:type="dxa"/>
            <w:bottom w:w="0" w:type="dxa"/>
            <w:right w:w="108" w:type="dxa"/>
          </w:tblCellMar>
        </w:tblPrEx>
        <w:trPr>
          <w:gridAfter w:val="1"/>
          <w:wAfter w:w="12" w:type="dxa"/>
          <w:trHeight w:val="596" w:hRule="atLeast"/>
          <w:jc w:val="center"/>
        </w:trPr>
        <w:tc>
          <w:tcPr>
            <w:tcW w:w="628" w:type="dxa"/>
            <w:vMerge w:val="restart"/>
            <w:tcBorders>
              <w:top w:val="single" w:color="auto" w:sz="4" w:space="0"/>
              <w:left w:val="single" w:color="auto" w:sz="4" w:space="0"/>
              <w:right w:val="single" w:color="auto" w:sz="4" w:space="0"/>
            </w:tcBorders>
            <w:shd w:val="clear" w:color="auto" w:fill="F1F1F1" w:themeFill="background1" w:themeFillShade="F2"/>
            <w:vAlign w:val="center"/>
          </w:tcPr>
          <w:p w14:paraId="5918C961">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6F27ABC">
            <w:pPr>
              <w:tabs>
                <w:tab w:val="left" w:pos="2460"/>
              </w:tabs>
              <w:spacing w:line="240" w:lineRule="auto"/>
              <w:rPr>
                <w:rFonts w:ascii="Times New Roman" w:hAnsi="Times New Roman" w:cs="Times New Roman"/>
                <w:sz w:val="20"/>
                <w:szCs w:val="20"/>
              </w:rPr>
            </w:pPr>
            <w:r>
              <w:rPr>
                <w:rFonts w:ascii="Times New Roman" w:hAnsi="Times New Roman" w:cs="Times New Roman"/>
                <w:sz w:val="20"/>
                <w:szCs w:val="20"/>
              </w:rPr>
              <w:t>Free SHS Programme</w:t>
            </w:r>
          </w:p>
          <w:p w14:paraId="3F5B58BC">
            <w:pPr>
              <w:tabs>
                <w:tab w:val="left" w:pos="2460"/>
              </w:tabs>
              <w:spacing w:line="240" w:lineRule="auto"/>
              <w:rPr>
                <w:rFonts w:ascii="Times New Roman" w:hAnsi="Times New Roman" w:cs="Times New Roman"/>
                <w:b/>
                <w:i/>
                <w:sz w:val="20"/>
                <w:szCs w:val="20"/>
              </w:rPr>
            </w:pPr>
            <w:r>
              <w:rPr>
                <w:rFonts w:ascii="Times New Roman" w:hAnsi="Times New Roman" w:cs="Times New Roman"/>
                <w:b/>
                <w:i/>
                <w:sz w:val="20"/>
                <w:szCs w:val="20"/>
              </w:rPr>
              <w:t>(New Abirem/ Afosu SHS)</w:t>
            </w:r>
          </w:p>
        </w:tc>
        <w:tc>
          <w:tcPr>
            <w:tcW w:w="1536" w:type="dxa"/>
            <w:tcBorders>
              <w:top w:val="single" w:color="auto" w:sz="4" w:space="0"/>
              <w:left w:val="single" w:color="auto" w:sz="4" w:space="0"/>
              <w:bottom w:val="single" w:color="auto" w:sz="4" w:space="0"/>
              <w:right w:val="single" w:color="auto" w:sz="4" w:space="0"/>
            </w:tcBorders>
            <w:vAlign w:val="center"/>
          </w:tcPr>
          <w:p w14:paraId="2E68075A">
            <w:pPr>
              <w:spacing w:line="240" w:lineRule="auto"/>
              <w:jc w:val="center"/>
              <w:rPr>
                <w:rFonts w:ascii="Times New Roman" w:hAnsi="Times New Roman" w:eastAsia="Times New Roman" w:cs="Times New Roman"/>
              </w:rPr>
            </w:pPr>
            <w:r>
              <w:rPr>
                <w:rFonts w:ascii="Times New Roman" w:hAnsi="Times New Roman" w:cs="Times New Roman"/>
              </w:rPr>
              <w:t>478,143.90</w:t>
            </w:r>
          </w:p>
        </w:tc>
        <w:tc>
          <w:tcPr>
            <w:tcW w:w="1718" w:type="dxa"/>
            <w:tcBorders>
              <w:top w:val="single" w:color="auto" w:sz="4" w:space="0"/>
              <w:left w:val="single" w:color="auto" w:sz="4" w:space="0"/>
              <w:bottom w:val="single" w:color="auto" w:sz="4" w:space="0"/>
              <w:right w:val="single" w:color="auto" w:sz="4" w:space="0"/>
            </w:tcBorders>
            <w:vAlign w:val="center"/>
          </w:tcPr>
          <w:p w14:paraId="67EEE67A">
            <w:pPr>
              <w:spacing w:line="240" w:lineRule="auto"/>
              <w:jc w:val="center"/>
              <w:rPr>
                <w:rFonts w:ascii="Times New Roman" w:hAnsi="Times New Roman" w:eastAsia="Times New Roman" w:cs="Times New Roman"/>
              </w:rPr>
            </w:pPr>
            <w:r>
              <w:rPr>
                <w:rFonts w:ascii="Times New Roman" w:hAnsi="Times New Roman" w:cs="Times New Roman"/>
              </w:rPr>
              <w:t>478,143.9</w:t>
            </w:r>
          </w:p>
        </w:tc>
        <w:tc>
          <w:tcPr>
            <w:tcW w:w="1631" w:type="dxa"/>
            <w:tcBorders>
              <w:top w:val="single" w:color="auto" w:sz="4" w:space="0"/>
              <w:left w:val="single" w:color="auto" w:sz="4" w:space="0"/>
              <w:bottom w:val="single" w:color="auto" w:sz="4" w:space="0"/>
              <w:right w:val="single" w:color="auto" w:sz="4" w:space="0"/>
            </w:tcBorders>
            <w:vAlign w:val="center"/>
          </w:tcPr>
          <w:p w14:paraId="530CCDE8">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1540</w:t>
            </w:r>
          </w:p>
        </w:tc>
        <w:tc>
          <w:tcPr>
            <w:tcW w:w="1490" w:type="dxa"/>
            <w:tcBorders>
              <w:top w:val="single" w:color="auto" w:sz="4" w:space="0"/>
              <w:left w:val="single" w:color="auto" w:sz="4" w:space="0"/>
              <w:bottom w:val="single" w:color="auto" w:sz="4" w:space="0"/>
              <w:right w:val="single" w:color="auto" w:sz="4" w:space="0"/>
            </w:tcBorders>
            <w:vAlign w:val="center"/>
          </w:tcPr>
          <w:p w14:paraId="2D44133A">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1540</w:t>
            </w:r>
          </w:p>
        </w:tc>
      </w:tr>
      <w:tr w14:paraId="30A01E7F">
        <w:tblPrEx>
          <w:tblCellMar>
            <w:top w:w="0" w:type="dxa"/>
            <w:left w:w="108" w:type="dxa"/>
            <w:bottom w:w="0" w:type="dxa"/>
            <w:right w:w="108" w:type="dxa"/>
          </w:tblCellMar>
        </w:tblPrEx>
        <w:trPr>
          <w:gridAfter w:val="1"/>
          <w:wAfter w:w="12" w:type="dxa"/>
          <w:trHeight w:val="596" w:hRule="atLeast"/>
          <w:jc w:val="center"/>
        </w:trPr>
        <w:tc>
          <w:tcPr>
            <w:tcW w:w="628" w:type="dxa"/>
            <w:vMerge w:val="continue"/>
            <w:tcBorders>
              <w:left w:val="single" w:color="auto" w:sz="4" w:space="0"/>
              <w:right w:val="single" w:color="auto" w:sz="4" w:space="0"/>
            </w:tcBorders>
            <w:shd w:val="clear" w:color="auto" w:fill="F1F1F1" w:themeFill="background1" w:themeFillShade="F2"/>
            <w:vAlign w:val="center"/>
          </w:tcPr>
          <w:p w14:paraId="1A3014E7">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19E9CA9">
            <w:pPr>
              <w:tabs>
                <w:tab w:val="left" w:pos="2460"/>
              </w:tabs>
              <w:spacing w:line="240" w:lineRule="auto"/>
              <w:rPr>
                <w:rFonts w:ascii="Times New Roman" w:hAnsi="Times New Roman" w:cs="Times New Roman"/>
                <w:sz w:val="20"/>
                <w:szCs w:val="20"/>
              </w:rPr>
            </w:pPr>
            <w:r>
              <w:rPr>
                <w:rFonts w:ascii="Times New Roman" w:hAnsi="Times New Roman" w:cs="Times New Roman"/>
                <w:sz w:val="20"/>
                <w:szCs w:val="20"/>
              </w:rPr>
              <w:t>Free SHS Programme</w:t>
            </w:r>
          </w:p>
          <w:p w14:paraId="7CECE8D1">
            <w:pPr>
              <w:tabs>
                <w:tab w:val="left" w:pos="2460"/>
              </w:tabs>
              <w:spacing w:line="240" w:lineRule="auto"/>
              <w:rPr>
                <w:rFonts w:ascii="Times New Roman" w:hAnsi="Times New Roman" w:cs="Times New Roman"/>
                <w:b/>
                <w:i/>
                <w:sz w:val="20"/>
                <w:szCs w:val="20"/>
              </w:rPr>
            </w:pPr>
            <w:r>
              <w:rPr>
                <w:rFonts w:ascii="Times New Roman" w:hAnsi="Times New Roman" w:cs="Times New Roman"/>
                <w:b/>
                <w:i/>
                <w:sz w:val="20"/>
                <w:szCs w:val="20"/>
              </w:rPr>
              <w:t>Amoana Praso Senior High School (SHS)</w:t>
            </w:r>
          </w:p>
        </w:tc>
        <w:tc>
          <w:tcPr>
            <w:tcW w:w="1536" w:type="dxa"/>
            <w:tcBorders>
              <w:top w:val="single" w:color="auto" w:sz="4" w:space="0"/>
              <w:left w:val="single" w:color="auto" w:sz="4" w:space="0"/>
              <w:bottom w:val="single" w:color="auto" w:sz="4" w:space="0"/>
              <w:right w:val="single" w:color="auto" w:sz="4" w:space="0"/>
            </w:tcBorders>
            <w:vAlign w:val="center"/>
          </w:tcPr>
          <w:p w14:paraId="27AC8992">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9,000.00</w:t>
            </w:r>
          </w:p>
        </w:tc>
        <w:tc>
          <w:tcPr>
            <w:tcW w:w="1718" w:type="dxa"/>
            <w:tcBorders>
              <w:top w:val="single" w:color="auto" w:sz="4" w:space="0"/>
              <w:left w:val="single" w:color="auto" w:sz="4" w:space="0"/>
              <w:bottom w:val="single" w:color="auto" w:sz="4" w:space="0"/>
              <w:right w:val="single" w:color="auto" w:sz="4" w:space="0"/>
            </w:tcBorders>
            <w:vAlign w:val="center"/>
          </w:tcPr>
          <w:p w14:paraId="21267265">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9,000.00</w:t>
            </w:r>
          </w:p>
        </w:tc>
        <w:tc>
          <w:tcPr>
            <w:tcW w:w="1631" w:type="dxa"/>
            <w:tcBorders>
              <w:top w:val="single" w:color="auto" w:sz="4" w:space="0"/>
              <w:left w:val="single" w:color="auto" w:sz="4" w:space="0"/>
              <w:bottom w:val="single" w:color="auto" w:sz="4" w:space="0"/>
              <w:right w:val="single" w:color="auto" w:sz="4" w:space="0"/>
            </w:tcBorders>
            <w:vAlign w:val="center"/>
          </w:tcPr>
          <w:p w14:paraId="5AFF43B0">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132</w:t>
            </w:r>
          </w:p>
        </w:tc>
        <w:tc>
          <w:tcPr>
            <w:tcW w:w="1490" w:type="dxa"/>
            <w:tcBorders>
              <w:top w:val="single" w:color="auto" w:sz="4" w:space="0"/>
              <w:left w:val="single" w:color="auto" w:sz="4" w:space="0"/>
              <w:bottom w:val="single" w:color="auto" w:sz="4" w:space="0"/>
              <w:right w:val="single" w:color="auto" w:sz="4" w:space="0"/>
            </w:tcBorders>
            <w:vAlign w:val="center"/>
          </w:tcPr>
          <w:p w14:paraId="0DD49D38">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132</w:t>
            </w:r>
          </w:p>
        </w:tc>
      </w:tr>
      <w:tr w14:paraId="08D39C49">
        <w:tblPrEx>
          <w:tblCellMar>
            <w:top w:w="0" w:type="dxa"/>
            <w:left w:w="108" w:type="dxa"/>
            <w:bottom w:w="0" w:type="dxa"/>
            <w:right w:w="108" w:type="dxa"/>
          </w:tblCellMar>
        </w:tblPrEx>
        <w:trPr>
          <w:gridAfter w:val="1"/>
          <w:wAfter w:w="12" w:type="dxa"/>
          <w:trHeight w:val="596" w:hRule="atLeast"/>
          <w:jc w:val="center"/>
        </w:trPr>
        <w:tc>
          <w:tcPr>
            <w:tcW w:w="628" w:type="dxa"/>
            <w:vMerge w:val="continue"/>
            <w:tcBorders>
              <w:left w:val="single" w:color="auto" w:sz="4" w:space="0"/>
              <w:bottom w:val="single" w:color="auto" w:sz="4" w:space="0"/>
              <w:right w:val="single" w:color="auto" w:sz="4" w:space="0"/>
            </w:tcBorders>
            <w:shd w:val="clear" w:color="auto" w:fill="F1F1F1" w:themeFill="background1" w:themeFillShade="F2"/>
            <w:vAlign w:val="center"/>
          </w:tcPr>
          <w:p w14:paraId="09BECDF9">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7F08925">
            <w:pPr>
              <w:tabs>
                <w:tab w:val="left" w:pos="2460"/>
              </w:tabs>
              <w:spacing w:line="240" w:lineRule="auto"/>
              <w:rPr>
                <w:rFonts w:ascii="Times New Roman" w:hAnsi="Times New Roman" w:cs="Times New Roman"/>
                <w:sz w:val="20"/>
                <w:szCs w:val="20"/>
              </w:rPr>
            </w:pPr>
            <w:r>
              <w:rPr>
                <w:rFonts w:ascii="Times New Roman" w:hAnsi="Times New Roman" w:cs="Times New Roman"/>
                <w:sz w:val="20"/>
                <w:szCs w:val="20"/>
              </w:rPr>
              <w:t>Free SHS Programme</w:t>
            </w:r>
          </w:p>
          <w:p w14:paraId="61CA396A">
            <w:pPr>
              <w:tabs>
                <w:tab w:val="left" w:pos="2460"/>
              </w:tabs>
              <w:spacing w:line="240" w:lineRule="auto"/>
              <w:rPr>
                <w:rFonts w:ascii="Times New Roman" w:hAnsi="Times New Roman" w:cs="Times New Roman"/>
                <w:b/>
                <w:i/>
                <w:sz w:val="20"/>
                <w:szCs w:val="20"/>
              </w:rPr>
            </w:pPr>
            <w:r>
              <w:rPr>
                <w:rFonts w:ascii="Times New Roman" w:hAnsi="Times New Roman" w:cs="Times New Roman"/>
                <w:b/>
                <w:i/>
                <w:sz w:val="20"/>
                <w:szCs w:val="20"/>
              </w:rPr>
              <w:t>Saint Michael’s Senior High School (SMISS)</w:t>
            </w:r>
          </w:p>
        </w:tc>
        <w:tc>
          <w:tcPr>
            <w:tcW w:w="1536" w:type="dxa"/>
            <w:tcBorders>
              <w:top w:val="single" w:color="auto" w:sz="4" w:space="0"/>
              <w:left w:val="single" w:color="auto" w:sz="4" w:space="0"/>
              <w:bottom w:val="single" w:color="auto" w:sz="4" w:space="0"/>
              <w:right w:val="single" w:color="auto" w:sz="4" w:space="0"/>
            </w:tcBorders>
            <w:vAlign w:val="center"/>
          </w:tcPr>
          <w:p w14:paraId="260983C8">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56115530">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71FE01DA">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389A0C38">
            <w:pPr>
              <w:tabs>
                <w:tab w:val="left" w:pos="2460"/>
              </w:tabs>
              <w:spacing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14:paraId="78BC3B07">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91F4B20">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091E3B8">
            <w:pPr>
              <w:spacing w:after="0" w:line="240" w:lineRule="auto"/>
              <w:rPr>
                <w:rFonts w:ascii="Times New Roman" w:hAnsi="Times New Roman" w:cs="Times New Roman"/>
              </w:rPr>
            </w:pPr>
            <w:r>
              <w:rPr>
                <w:rFonts w:ascii="Times New Roman" w:hAnsi="Times New Roman" w:cs="Times New Roman"/>
              </w:rPr>
              <w:t>National Youth Employment Programme</w:t>
            </w:r>
          </w:p>
        </w:tc>
        <w:tc>
          <w:tcPr>
            <w:tcW w:w="1536" w:type="dxa"/>
            <w:tcBorders>
              <w:top w:val="single" w:color="auto" w:sz="4" w:space="0"/>
              <w:left w:val="single" w:color="auto" w:sz="4" w:space="0"/>
              <w:bottom w:val="single" w:color="auto" w:sz="4" w:space="0"/>
              <w:right w:val="single" w:color="auto" w:sz="4" w:space="0"/>
            </w:tcBorders>
            <w:shd w:val="clear" w:color="auto" w:fill="EE0000"/>
            <w:vAlign w:val="center"/>
          </w:tcPr>
          <w:p w14:paraId="77D9BC3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shd w:val="clear" w:color="auto" w:fill="EE0000"/>
            <w:vAlign w:val="center"/>
          </w:tcPr>
          <w:p w14:paraId="7715A6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shd w:val="clear" w:color="auto" w:fill="EE0000"/>
            <w:vAlign w:val="center"/>
          </w:tcPr>
          <w:p w14:paraId="149D93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shd w:val="clear" w:color="auto" w:fill="EE0000"/>
            <w:vAlign w:val="center"/>
          </w:tcPr>
          <w:p w14:paraId="7C30D7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14:paraId="540B98D6">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8317FA4">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EE0000"/>
            <w:vAlign w:val="center"/>
          </w:tcPr>
          <w:p w14:paraId="4DFA9968">
            <w:pPr>
              <w:spacing w:after="0" w:line="240" w:lineRule="auto"/>
              <w:rPr>
                <w:rFonts w:ascii="Times New Roman" w:hAnsi="Times New Roman" w:cs="Times New Roman"/>
              </w:rPr>
            </w:pPr>
            <w:r>
              <w:rPr>
                <w:rFonts w:ascii="Times New Roman" w:hAnsi="Times New Roman" w:cs="Times New Roman"/>
              </w:rPr>
              <w:t>Agricultural for Job Programme</w:t>
            </w:r>
          </w:p>
        </w:tc>
        <w:tc>
          <w:tcPr>
            <w:tcW w:w="1536" w:type="dxa"/>
            <w:tcBorders>
              <w:top w:val="single" w:color="auto" w:sz="4" w:space="0"/>
              <w:left w:val="single" w:color="auto" w:sz="4" w:space="0"/>
              <w:bottom w:val="single" w:color="auto" w:sz="4" w:space="0"/>
              <w:right w:val="single" w:color="auto" w:sz="4" w:space="0"/>
            </w:tcBorders>
            <w:vAlign w:val="center"/>
          </w:tcPr>
          <w:p w14:paraId="21DC1B07">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140592C5">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34DC3E06">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00443756">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28EB1704">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BF3253B">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9E82858">
            <w:pPr>
              <w:spacing w:after="0" w:line="240" w:lineRule="auto"/>
              <w:rPr>
                <w:rFonts w:ascii="Times New Roman" w:hAnsi="Times New Roman" w:cs="Times New Roman"/>
              </w:rPr>
            </w:pPr>
            <w:r>
              <w:rPr>
                <w:rFonts w:ascii="Times New Roman" w:hAnsi="Times New Roman" w:cs="Times New Roman"/>
              </w:rPr>
              <w:t>Big Push Infrastructure Development Initiative</w:t>
            </w:r>
          </w:p>
        </w:tc>
        <w:tc>
          <w:tcPr>
            <w:tcW w:w="1536" w:type="dxa"/>
            <w:tcBorders>
              <w:top w:val="single" w:color="auto" w:sz="4" w:space="0"/>
              <w:left w:val="single" w:color="auto" w:sz="4" w:space="0"/>
              <w:bottom w:val="single" w:color="auto" w:sz="4" w:space="0"/>
              <w:right w:val="single" w:color="auto" w:sz="4" w:space="0"/>
            </w:tcBorders>
            <w:vAlign w:val="center"/>
          </w:tcPr>
          <w:p w14:paraId="7A607E9F">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62E6A4FA">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4553F78B">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414C587A">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17399B00">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DDEADFF">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2C5FCA8">
            <w:pPr>
              <w:spacing w:after="0" w:line="240" w:lineRule="auto"/>
              <w:rPr>
                <w:rFonts w:ascii="Times New Roman" w:hAnsi="Times New Roman" w:cs="Times New Roman"/>
              </w:rPr>
            </w:pPr>
            <w:r>
              <w:rPr>
                <w:rFonts w:ascii="Times New Roman" w:hAnsi="Times New Roman" w:cs="Times New Roman"/>
              </w:rPr>
              <w:t xml:space="preserve">24-Hour Economy Initiative </w:t>
            </w:r>
          </w:p>
        </w:tc>
        <w:tc>
          <w:tcPr>
            <w:tcW w:w="1536" w:type="dxa"/>
            <w:tcBorders>
              <w:top w:val="single" w:color="auto" w:sz="4" w:space="0"/>
              <w:left w:val="single" w:color="auto" w:sz="4" w:space="0"/>
              <w:bottom w:val="single" w:color="auto" w:sz="4" w:space="0"/>
              <w:right w:val="single" w:color="auto" w:sz="4" w:space="0"/>
            </w:tcBorders>
            <w:vAlign w:val="center"/>
          </w:tcPr>
          <w:p w14:paraId="407A9DE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3B07D3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36504E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41EF5F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14:paraId="0D35FC18">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7FC1CB4">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DE5E6BB">
            <w:pPr>
              <w:spacing w:after="0" w:line="240" w:lineRule="auto"/>
              <w:rPr>
                <w:rFonts w:ascii="Times New Roman" w:hAnsi="Times New Roman" w:cs="Times New Roman"/>
              </w:rPr>
            </w:pPr>
            <w:r>
              <w:rPr>
                <w:rFonts w:ascii="Times New Roman" w:hAnsi="Times New Roman" w:cs="Times New Roman"/>
              </w:rPr>
              <w:t>Women’s Development Bank Support Programme</w:t>
            </w:r>
          </w:p>
        </w:tc>
        <w:tc>
          <w:tcPr>
            <w:tcW w:w="1536" w:type="dxa"/>
            <w:tcBorders>
              <w:top w:val="single" w:color="auto" w:sz="4" w:space="0"/>
              <w:left w:val="single" w:color="auto" w:sz="4" w:space="0"/>
              <w:bottom w:val="single" w:color="auto" w:sz="4" w:space="0"/>
              <w:right w:val="single" w:color="auto" w:sz="4" w:space="0"/>
            </w:tcBorders>
            <w:vAlign w:val="center"/>
          </w:tcPr>
          <w:p w14:paraId="37D15665">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74EC3EF3">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2637DD73">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48375147">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344D5C63">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B14DC63">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A57C099">
            <w:pPr>
              <w:spacing w:after="0" w:line="240" w:lineRule="auto"/>
              <w:rPr>
                <w:rFonts w:ascii="Times New Roman" w:hAnsi="Times New Roman" w:cs="Times New Roman"/>
              </w:rPr>
            </w:pPr>
            <w:r>
              <w:rPr>
                <w:rFonts w:ascii="Times New Roman" w:hAnsi="Times New Roman" w:cs="Times New Roman"/>
              </w:rPr>
              <w:t>National Apprenticeship Programme</w:t>
            </w:r>
          </w:p>
        </w:tc>
        <w:tc>
          <w:tcPr>
            <w:tcW w:w="1536" w:type="dxa"/>
            <w:tcBorders>
              <w:top w:val="single" w:color="auto" w:sz="4" w:space="0"/>
              <w:left w:val="single" w:color="auto" w:sz="4" w:space="0"/>
              <w:bottom w:val="single" w:color="auto" w:sz="4" w:space="0"/>
              <w:right w:val="single" w:color="auto" w:sz="4" w:space="0"/>
            </w:tcBorders>
            <w:vAlign w:val="center"/>
          </w:tcPr>
          <w:p w14:paraId="33846029">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7869CFAB">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0E50DDF7">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4F601689">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33281D83">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6DE1AE8">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1BB010F">
            <w:pPr>
              <w:spacing w:after="0" w:line="240" w:lineRule="auto"/>
              <w:rPr>
                <w:rFonts w:ascii="Times New Roman" w:hAnsi="Times New Roman" w:cs="Times New Roman"/>
              </w:rPr>
            </w:pPr>
            <w:r>
              <w:rPr>
                <w:rFonts w:ascii="Times New Roman" w:hAnsi="Times New Roman" w:cs="Times New Roman"/>
              </w:rPr>
              <w:t>Adwumawura’ Programme</w:t>
            </w:r>
          </w:p>
        </w:tc>
        <w:tc>
          <w:tcPr>
            <w:tcW w:w="1536" w:type="dxa"/>
            <w:tcBorders>
              <w:top w:val="single" w:color="auto" w:sz="4" w:space="0"/>
              <w:left w:val="single" w:color="auto" w:sz="4" w:space="0"/>
              <w:bottom w:val="single" w:color="auto" w:sz="4" w:space="0"/>
              <w:right w:val="single" w:color="auto" w:sz="4" w:space="0"/>
            </w:tcBorders>
            <w:vAlign w:val="center"/>
          </w:tcPr>
          <w:p w14:paraId="5E2480ED">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3972F431">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0A0ECB74">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749FD7D6">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41923C55">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500EC4E">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F762B47">
            <w:pPr>
              <w:spacing w:after="0" w:line="240" w:lineRule="auto"/>
              <w:rPr>
                <w:rFonts w:ascii="Times New Roman" w:hAnsi="Times New Roman" w:cs="Times New Roman"/>
              </w:rPr>
            </w:pPr>
            <w:r>
              <w:rPr>
                <w:rFonts w:ascii="Times New Roman" w:hAnsi="Times New Roman" w:cs="Times New Roman"/>
              </w:rPr>
              <w:t>Digital Jobs initiative</w:t>
            </w:r>
          </w:p>
        </w:tc>
        <w:tc>
          <w:tcPr>
            <w:tcW w:w="1536" w:type="dxa"/>
            <w:tcBorders>
              <w:top w:val="single" w:color="auto" w:sz="4" w:space="0"/>
              <w:left w:val="single" w:color="auto" w:sz="4" w:space="0"/>
              <w:bottom w:val="single" w:color="auto" w:sz="4" w:space="0"/>
              <w:right w:val="single" w:color="auto" w:sz="4" w:space="0"/>
            </w:tcBorders>
            <w:vAlign w:val="center"/>
          </w:tcPr>
          <w:p w14:paraId="63670C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03556076">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7D6249AF">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3EB1AEF8">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7B4B0C4A">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221535C">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387B906">
            <w:pPr>
              <w:spacing w:after="0" w:line="240" w:lineRule="auto"/>
              <w:rPr>
                <w:rFonts w:ascii="Times New Roman" w:hAnsi="Times New Roman" w:cs="Times New Roman"/>
              </w:rPr>
            </w:pPr>
            <w:r>
              <w:rPr>
                <w:rFonts w:ascii="Times New Roman" w:hAnsi="Times New Roman" w:cs="Times New Roman"/>
              </w:rPr>
              <w:t>Ghana Medical Care trust (MahamaCares)</w:t>
            </w:r>
          </w:p>
        </w:tc>
        <w:tc>
          <w:tcPr>
            <w:tcW w:w="1536" w:type="dxa"/>
            <w:tcBorders>
              <w:top w:val="single" w:color="auto" w:sz="4" w:space="0"/>
              <w:left w:val="single" w:color="auto" w:sz="4" w:space="0"/>
              <w:bottom w:val="single" w:color="auto" w:sz="4" w:space="0"/>
              <w:right w:val="single" w:color="auto" w:sz="4" w:space="0"/>
            </w:tcBorders>
            <w:vAlign w:val="center"/>
          </w:tcPr>
          <w:p w14:paraId="38D21BC2">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6F7FAFA0">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10817847">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51EFE5AD">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0BC2D39B">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923690C">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E81B612">
            <w:pPr>
              <w:spacing w:after="0" w:line="240" w:lineRule="auto"/>
              <w:rPr>
                <w:rFonts w:ascii="Times New Roman" w:hAnsi="Times New Roman" w:cs="Times New Roman"/>
              </w:rPr>
            </w:pPr>
            <w:r>
              <w:rPr>
                <w:rFonts w:ascii="Times New Roman" w:hAnsi="Times New Roman" w:cs="Times New Roman"/>
              </w:rPr>
              <w:t>Rapid Industrialization Programme</w:t>
            </w:r>
          </w:p>
        </w:tc>
        <w:tc>
          <w:tcPr>
            <w:tcW w:w="1536" w:type="dxa"/>
            <w:tcBorders>
              <w:top w:val="single" w:color="auto" w:sz="4" w:space="0"/>
              <w:left w:val="single" w:color="auto" w:sz="4" w:space="0"/>
              <w:bottom w:val="single" w:color="auto" w:sz="4" w:space="0"/>
              <w:right w:val="single" w:color="auto" w:sz="4" w:space="0"/>
            </w:tcBorders>
            <w:vAlign w:val="center"/>
          </w:tcPr>
          <w:p w14:paraId="413299AB">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4D3E19C0">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626EB26A">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4BBF7A47">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3C3FE07E">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C3CA4AB">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D861946">
            <w:pPr>
              <w:spacing w:after="0" w:line="240" w:lineRule="auto"/>
              <w:rPr>
                <w:rFonts w:ascii="Times New Roman" w:hAnsi="Times New Roman" w:cs="Times New Roman"/>
              </w:rPr>
            </w:pPr>
            <w:r>
              <w:rPr>
                <w:rFonts w:ascii="Times New Roman" w:hAnsi="Times New Roman" w:cs="Times New Roman"/>
              </w:rPr>
              <w:t xml:space="preserve">Feed Ghana Programme </w:t>
            </w:r>
          </w:p>
        </w:tc>
        <w:tc>
          <w:tcPr>
            <w:tcW w:w="1536" w:type="dxa"/>
            <w:tcBorders>
              <w:top w:val="single" w:color="auto" w:sz="4" w:space="0"/>
              <w:left w:val="single" w:color="auto" w:sz="4" w:space="0"/>
              <w:bottom w:val="single" w:color="auto" w:sz="4" w:space="0"/>
              <w:right w:val="single" w:color="auto" w:sz="4" w:space="0"/>
            </w:tcBorders>
            <w:vAlign w:val="center"/>
          </w:tcPr>
          <w:p w14:paraId="2C847483">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70769683">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10790007">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0D02B755">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416E9F05">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994067B">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EC98C2D">
            <w:pPr>
              <w:spacing w:after="0" w:line="240" w:lineRule="auto"/>
              <w:rPr>
                <w:rFonts w:ascii="Times New Roman" w:hAnsi="Times New Roman" w:cs="Times New Roman"/>
              </w:rPr>
            </w:pPr>
            <w:r>
              <w:rPr>
                <w:rFonts w:ascii="Times New Roman" w:hAnsi="Times New Roman" w:cs="Times New Roman"/>
              </w:rPr>
              <w:t>Nkoko Nkitinkiti</w:t>
            </w:r>
          </w:p>
        </w:tc>
        <w:tc>
          <w:tcPr>
            <w:tcW w:w="1536" w:type="dxa"/>
            <w:tcBorders>
              <w:top w:val="single" w:color="auto" w:sz="4" w:space="0"/>
              <w:left w:val="single" w:color="auto" w:sz="4" w:space="0"/>
              <w:bottom w:val="single" w:color="auto" w:sz="4" w:space="0"/>
              <w:right w:val="single" w:color="auto" w:sz="4" w:space="0"/>
            </w:tcBorders>
            <w:vAlign w:val="center"/>
          </w:tcPr>
          <w:p w14:paraId="55137E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67FB147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264DC6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c>
          <w:tcPr>
            <w:tcW w:w="1490" w:type="dxa"/>
            <w:tcBorders>
              <w:top w:val="single" w:color="auto" w:sz="4" w:space="0"/>
              <w:left w:val="single" w:color="auto" w:sz="4" w:space="0"/>
              <w:bottom w:val="single" w:color="auto" w:sz="4" w:space="0"/>
              <w:right w:val="single" w:color="auto" w:sz="4" w:space="0"/>
            </w:tcBorders>
            <w:vAlign w:val="center"/>
          </w:tcPr>
          <w:p w14:paraId="10D11DB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14:paraId="2BA8EBFA">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BD767F8">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1BC772D">
            <w:pPr>
              <w:spacing w:after="0" w:line="240" w:lineRule="auto"/>
              <w:rPr>
                <w:rFonts w:ascii="Times New Roman" w:hAnsi="Times New Roman" w:cs="Times New Roman"/>
              </w:rPr>
            </w:pPr>
            <w:r>
              <w:rPr>
                <w:rFonts w:ascii="Times New Roman" w:hAnsi="Times New Roman" w:cs="Times New Roman"/>
              </w:rPr>
              <w:t>National Youth Employment Programme</w:t>
            </w:r>
          </w:p>
        </w:tc>
        <w:tc>
          <w:tcPr>
            <w:tcW w:w="1536" w:type="dxa"/>
            <w:tcBorders>
              <w:top w:val="single" w:color="auto" w:sz="4" w:space="0"/>
              <w:left w:val="single" w:color="auto" w:sz="4" w:space="0"/>
              <w:bottom w:val="single" w:color="auto" w:sz="4" w:space="0"/>
              <w:right w:val="single" w:color="auto" w:sz="4" w:space="0"/>
            </w:tcBorders>
            <w:vAlign w:val="center"/>
          </w:tcPr>
          <w:p w14:paraId="5634CA45">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42409980">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434D9493">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12499369">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5FF85C88">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A719E94">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3DD558E">
            <w:pPr>
              <w:spacing w:after="0" w:line="240" w:lineRule="auto"/>
              <w:rPr>
                <w:rFonts w:ascii="Times New Roman" w:hAnsi="Times New Roman" w:cs="Times New Roman"/>
              </w:rPr>
            </w:pPr>
            <w:r>
              <w:rPr>
                <w:rFonts w:ascii="Times New Roman" w:hAnsi="Times New Roman" w:cs="Times New Roman"/>
              </w:rPr>
              <w:t>Planting for Food and Jobs Programme</w:t>
            </w:r>
          </w:p>
        </w:tc>
        <w:tc>
          <w:tcPr>
            <w:tcW w:w="1536" w:type="dxa"/>
            <w:tcBorders>
              <w:top w:val="single" w:color="auto" w:sz="4" w:space="0"/>
              <w:left w:val="single" w:color="auto" w:sz="4" w:space="0"/>
              <w:bottom w:val="single" w:color="auto" w:sz="4" w:space="0"/>
              <w:right w:val="single" w:color="auto" w:sz="4" w:space="0"/>
            </w:tcBorders>
            <w:vAlign w:val="center"/>
          </w:tcPr>
          <w:p w14:paraId="1D27EE7F">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1FF543AC">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1F31E68B">
            <w:pPr>
              <w:spacing w:line="240" w:lineRule="auto"/>
              <w:jc w:val="center"/>
              <w:rPr>
                <w:rFonts w:ascii="Times New Roman" w:hAnsi="Times New Roman" w:cs="Times New Roman"/>
              </w:rPr>
            </w:pPr>
            <w:r>
              <w:rPr>
                <w:rFonts w:ascii="Times New Roman" w:hAnsi="Times New Roman" w:cs="Times New Roman"/>
                <w:sz w:val="20"/>
                <w:szCs w:val="20"/>
              </w:rPr>
              <w:t>N/A</w:t>
            </w:r>
          </w:p>
        </w:tc>
        <w:tc>
          <w:tcPr>
            <w:tcW w:w="1490" w:type="dxa"/>
            <w:tcBorders>
              <w:top w:val="single" w:color="auto" w:sz="4" w:space="0"/>
              <w:left w:val="single" w:color="auto" w:sz="4" w:space="0"/>
              <w:bottom w:val="single" w:color="auto" w:sz="4" w:space="0"/>
              <w:right w:val="single" w:color="auto" w:sz="4" w:space="0"/>
            </w:tcBorders>
            <w:vAlign w:val="center"/>
          </w:tcPr>
          <w:p w14:paraId="586619CB">
            <w:pPr>
              <w:spacing w:line="240" w:lineRule="auto"/>
              <w:jc w:val="center"/>
              <w:rPr>
                <w:rFonts w:ascii="Times New Roman" w:hAnsi="Times New Roman" w:cs="Times New Roman"/>
              </w:rPr>
            </w:pPr>
            <w:r>
              <w:rPr>
                <w:rFonts w:ascii="Times New Roman" w:hAnsi="Times New Roman" w:cs="Times New Roman"/>
                <w:sz w:val="20"/>
                <w:szCs w:val="20"/>
              </w:rPr>
              <w:t>N/A</w:t>
            </w:r>
          </w:p>
        </w:tc>
      </w:tr>
      <w:tr w14:paraId="4DDB75B6">
        <w:tblPrEx>
          <w:tblCellMar>
            <w:top w:w="0" w:type="dxa"/>
            <w:left w:w="108" w:type="dxa"/>
            <w:bottom w:w="0" w:type="dxa"/>
            <w:right w:w="108" w:type="dxa"/>
          </w:tblCellMar>
        </w:tblPrEx>
        <w:trPr>
          <w:gridAfter w:val="1"/>
          <w:wAfter w:w="12" w:type="dxa"/>
          <w:trHeight w:val="596" w:hRule="atLeast"/>
          <w:jc w:val="center"/>
        </w:trPr>
        <w:tc>
          <w:tcPr>
            <w:tcW w:w="62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602BACD">
            <w:pPr>
              <w:pStyle w:val="24"/>
              <w:numPr>
                <w:ilvl w:val="0"/>
                <w:numId w:val="27"/>
              </w:numPr>
              <w:spacing w:after="0" w:line="240" w:lineRule="auto"/>
              <w:rPr>
                <w:rFonts w:ascii="Times New Roman" w:hAnsi="Times New Roman" w:cs="Times New Roman"/>
                <w:b/>
                <w:lang w:val="en-GB"/>
              </w:rPr>
            </w:pPr>
          </w:p>
        </w:tc>
        <w:tc>
          <w:tcPr>
            <w:tcW w:w="432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1C52BCE">
            <w:pPr>
              <w:spacing w:after="0" w:line="240" w:lineRule="auto"/>
              <w:rPr>
                <w:rFonts w:ascii="Times New Roman" w:hAnsi="Times New Roman" w:cs="Times New Roman"/>
              </w:rPr>
            </w:pPr>
            <w:r>
              <w:rPr>
                <w:rFonts w:ascii="Times New Roman" w:hAnsi="Times New Roman" w:cs="Times New Roman"/>
              </w:rPr>
              <w:t>Others (PERD)</w:t>
            </w:r>
          </w:p>
        </w:tc>
        <w:tc>
          <w:tcPr>
            <w:tcW w:w="1536" w:type="dxa"/>
            <w:tcBorders>
              <w:top w:val="single" w:color="auto" w:sz="4" w:space="0"/>
              <w:left w:val="single" w:color="auto" w:sz="4" w:space="0"/>
              <w:bottom w:val="single" w:color="auto" w:sz="4" w:space="0"/>
              <w:right w:val="single" w:color="auto" w:sz="4" w:space="0"/>
            </w:tcBorders>
            <w:vAlign w:val="center"/>
          </w:tcPr>
          <w:p w14:paraId="442E55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718" w:type="dxa"/>
            <w:tcBorders>
              <w:top w:val="single" w:color="auto" w:sz="4" w:space="0"/>
              <w:left w:val="single" w:color="auto" w:sz="4" w:space="0"/>
              <w:bottom w:val="single" w:color="auto" w:sz="4" w:space="0"/>
              <w:right w:val="single" w:color="auto" w:sz="4" w:space="0"/>
            </w:tcBorders>
            <w:vAlign w:val="center"/>
          </w:tcPr>
          <w:p w14:paraId="409E7C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c>
          <w:tcPr>
            <w:tcW w:w="1631" w:type="dxa"/>
            <w:tcBorders>
              <w:top w:val="single" w:color="auto" w:sz="4" w:space="0"/>
              <w:left w:val="single" w:color="auto" w:sz="4" w:space="0"/>
              <w:bottom w:val="single" w:color="auto" w:sz="4" w:space="0"/>
              <w:right w:val="single" w:color="auto" w:sz="4" w:space="0"/>
            </w:tcBorders>
            <w:vAlign w:val="center"/>
          </w:tcPr>
          <w:p w14:paraId="1B24C571">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N/A</w:t>
            </w:r>
          </w:p>
        </w:tc>
        <w:tc>
          <w:tcPr>
            <w:tcW w:w="1490" w:type="dxa"/>
            <w:tcBorders>
              <w:top w:val="single" w:color="auto" w:sz="4" w:space="0"/>
              <w:left w:val="single" w:color="auto" w:sz="4" w:space="0"/>
              <w:bottom w:val="single" w:color="auto" w:sz="4" w:space="0"/>
              <w:right w:val="single" w:color="auto" w:sz="4" w:space="0"/>
            </w:tcBorders>
            <w:vAlign w:val="center"/>
          </w:tcPr>
          <w:p w14:paraId="6CB744E8">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N/A</w:t>
            </w:r>
          </w:p>
        </w:tc>
      </w:tr>
      <w:tr w14:paraId="5250B273">
        <w:tblPrEx>
          <w:tblCellMar>
            <w:top w:w="0" w:type="dxa"/>
            <w:left w:w="108" w:type="dxa"/>
            <w:bottom w:w="0" w:type="dxa"/>
            <w:right w:w="108" w:type="dxa"/>
          </w:tblCellMar>
        </w:tblPrEx>
        <w:trPr>
          <w:trHeight w:val="596" w:hRule="atLeast"/>
          <w:jc w:val="center"/>
        </w:trPr>
        <w:tc>
          <w:tcPr>
            <w:tcW w:w="628" w:type="dxa"/>
            <w:tcBorders>
              <w:top w:val="single" w:color="auto" w:sz="4" w:space="0"/>
              <w:left w:val="single" w:color="auto" w:sz="4" w:space="0"/>
              <w:bottom w:val="single" w:color="auto" w:sz="4" w:space="0"/>
              <w:right w:val="single" w:color="auto" w:sz="4" w:space="0"/>
            </w:tcBorders>
            <w:vAlign w:val="center"/>
          </w:tcPr>
          <w:p w14:paraId="773FA3A7">
            <w:pPr>
              <w:spacing w:after="0" w:line="240" w:lineRule="auto"/>
              <w:rPr>
                <w:rFonts w:ascii="Times New Roman" w:hAnsi="Times New Roman" w:cs="Times New Roman"/>
                <w:b/>
                <w:bCs/>
              </w:rPr>
            </w:pPr>
            <w:r>
              <w:rPr>
                <w:rFonts w:ascii="Times New Roman" w:hAnsi="Times New Roman" w:cs="Times New Roman"/>
                <w:b/>
                <w:bCs/>
              </w:rPr>
              <w:t xml:space="preserve">  </w:t>
            </w:r>
          </w:p>
        </w:tc>
        <w:tc>
          <w:tcPr>
            <w:tcW w:w="10716" w:type="dxa"/>
            <w:gridSpan w:val="6"/>
            <w:tcBorders>
              <w:top w:val="single" w:color="auto" w:sz="4" w:space="0"/>
              <w:left w:val="single" w:color="auto" w:sz="4" w:space="0"/>
              <w:bottom w:val="single" w:color="auto" w:sz="4" w:space="0"/>
              <w:right w:val="single" w:color="auto" w:sz="4" w:space="0"/>
            </w:tcBorders>
            <w:vAlign w:val="center"/>
          </w:tcPr>
          <w:p w14:paraId="5F762405">
            <w:pPr>
              <w:spacing w:after="0" w:line="240" w:lineRule="auto"/>
              <w:rPr>
                <w:rFonts w:ascii="Times New Roman" w:hAnsi="Times New Roman" w:cs="Times New Roman"/>
              </w:rPr>
            </w:pPr>
            <w:r>
              <w:rPr>
                <w:rFonts w:ascii="Times New Roman" w:hAnsi="Times New Roman" w:cs="Times New Roman"/>
                <w:b/>
              </w:rPr>
              <w:t>Source:</w:t>
            </w:r>
            <w:r>
              <w:rPr>
                <w:rFonts w:ascii="Times New Roman" w:hAnsi="Times New Roman" w:cs="Times New Roman"/>
              </w:rPr>
              <w:t xml:space="preserve">  Departmental Reports, 2025</w:t>
            </w:r>
          </w:p>
        </w:tc>
      </w:tr>
    </w:tbl>
    <w:p w14:paraId="715466C8">
      <w:pPr>
        <w:pStyle w:val="4"/>
        <w:spacing w:after="240"/>
        <w:rPr>
          <w:rFonts w:ascii="Times New Roman" w:hAnsi="Times New Roman" w:cs="Times New Roman"/>
          <w:b/>
          <w:bCs/>
          <w:i/>
          <w:iCs/>
          <w:color w:val="auto"/>
        </w:rPr>
      </w:pPr>
      <w:bookmarkStart w:id="96" w:name="_Toc222333872"/>
      <w:bookmarkStart w:id="97" w:name="_Toc230260737"/>
      <w:r>
        <w:rPr>
          <w:rFonts w:ascii="Times New Roman" w:hAnsi="Times New Roman" w:cs="Times New Roman"/>
          <w:b/>
          <w:bCs/>
          <w:i/>
          <w:iCs/>
          <w:color w:val="auto"/>
        </w:rPr>
        <w:t>2.6.1 Update on Critical Development and Poverty Issues for First Quarter 202</w:t>
      </w:r>
      <w:bookmarkEnd w:id="96"/>
      <w:r>
        <w:rPr>
          <w:rFonts w:ascii="Times New Roman" w:hAnsi="Times New Roman" w:cs="Times New Roman"/>
          <w:b/>
          <w:bCs/>
          <w:i/>
          <w:iCs/>
          <w:color w:val="auto"/>
        </w:rPr>
        <w:t>6</w:t>
      </w:r>
      <w:bookmarkEnd w:id="97"/>
    </w:p>
    <w:p w14:paraId="4DF7ECE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implementation of critical development and poverty reduction interventions during the First Quarter of 2026 reflects the Government’s continued commitment to improving social welfare, education, health care delivery, youth empowerment, and livelihood support within the Birim North District. The various flagship programmes under implementation continue to contribute significantly towards poverty reduction, human capital development, and improved access to essential social services across the District.</w:t>
      </w:r>
    </w:p>
    <w:p w14:paraId="3B49646A">
      <w:pPr>
        <w:spacing w:line="360" w:lineRule="auto"/>
        <w:jc w:val="both"/>
        <w:rPr>
          <w:rFonts w:ascii="Times New Roman" w:hAnsi="Times New Roman" w:cs="Times New Roman"/>
          <w:b/>
          <w:bCs/>
          <w:i/>
          <w:sz w:val="24"/>
          <w:szCs w:val="24"/>
        </w:rPr>
      </w:pPr>
      <w:r>
        <w:rPr>
          <w:rFonts w:ascii="Times New Roman" w:hAnsi="Times New Roman" w:cs="Times New Roman"/>
          <w:b/>
          <w:bCs/>
          <w:i/>
          <w:sz w:val="24"/>
          <w:szCs w:val="24"/>
        </w:rPr>
        <w:t>School Feeding Programme</w:t>
      </w:r>
    </w:p>
    <w:p w14:paraId="099E1D5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During the quarter under review, the Ghana School Feeding Programme remained one of the key social intervention programmes supporting basic school enrolment, retention, and nutrition among school children. The programme recorded an allocation of GH¢39,684.00, out of which GH¢38,493.48 was received, representing a high level of fund realization during the quarter. The programme successfully achieved its beneficiary target by supporting a total of 6,614 pupils across beneficiary basic schools within the District. The programme continues to play a critical role in improving school attendance and reducing the burden on vulnerable households.</w:t>
      </w:r>
    </w:p>
    <w:p w14:paraId="11D741A2">
      <w:pPr>
        <w:spacing w:line="360" w:lineRule="auto"/>
        <w:jc w:val="both"/>
        <w:rPr>
          <w:rFonts w:ascii="Times New Roman" w:hAnsi="Times New Roman" w:cs="Times New Roman"/>
          <w:b/>
          <w:bCs/>
          <w:i/>
          <w:sz w:val="24"/>
          <w:szCs w:val="24"/>
        </w:rPr>
      </w:pPr>
      <w:r>
        <w:rPr>
          <w:rFonts w:ascii="Times New Roman" w:hAnsi="Times New Roman" w:cs="Times New Roman"/>
          <w:b/>
          <w:bCs/>
          <w:i/>
          <w:sz w:val="24"/>
          <w:szCs w:val="24"/>
        </w:rPr>
        <w:t>National Health Insurance Scheme (NHIS)</w:t>
      </w:r>
    </w:p>
    <w:p w14:paraId="09FDA6D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Under the National Health Insurance Scheme (NHIS), a total of 18,685 beneficiaries were recorded during the First Quarter of 2026 against an annual target of 85,000 beneficiaries. Although financial allocation and actual receipt figures were not available during the reporting period, the Scheme continues to improve access to healthcare services for residents within the District. However, it is important to note that NHIS data for the Birim North District also covers the Akyemansa District due to administrative operational arrangements, making district-specific disaggregation difficult.</w:t>
      </w:r>
    </w:p>
    <w:p w14:paraId="75E65B27">
      <w:pPr>
        <w:spacing w:line="360" w:lineRule="auto"/>
        <w:jc w:val="both"/>
        <w:rPr>
          <w:rFonts w:ascii="Times New Roman" w:hAnsi="Times New Roman" w:cs="Times New Roman"/>
          <w:b/>
          <w:bCs/>
          <w:i/>
          <w:sz w:val="24"/>
          <w:szCs w:val="24"/>
        </w:rPr>
      </w:pPr>
    </w:p>
    <w:p w14:paraId="62F6486A">
      <w:pPr>
        <w:spacing w:line="360" w:lineRule="auto"/>
        <w:jc w:val="both"/>
        <w:rPr>
          <w:rFonts w:ascii="Times New Roman" w:hAnsi="Times New Roman" w:cs="Times New Roman"/>
          <w:b/>
          <w:bCs/>
          <w:i/>
          <w:sz w:val="24"/>
          <w:szCs w:val="24"/>
        </w:rPr>
      </w:pPr>
      <w:r>
        <w:rPr>
          <w:rFonts w:ascii="Times New Roman" w:hAnsi="Times New Roman" w:cs="Times New Roman"/>
          <w:b/>
          <w:bCs/>
          <w:i/>
          <w:sz w:val="24"/>
          <w:szCs w:val="24"/>
        </w:rPr>
        <w:t>Capitation Grant Programme</w:t>
      </w:r>
    </w:p>
    <w:p w14:paraId="1D45013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Capitation Grant Programme also maintained full beneficiary coverage during the quarter. Although no allocation or actual receipt was recorded during the reporting period, the programme successfully supported all 16,633 targeted pupils within public basic schools in the District. The programme continues to support school administration and reduce financial barriers to basic education delivery.</w:t>
      </w:r>
    </w:p>
    <w:p w14:paraId="7B4BAA3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Implementation of the Livelihood Empowerment Against Poverty (LEAP) Programme remained satisfactory during the quarter under review. An amount of GH¢46,200.00 was both allocated and fully received for the programme, benefiting all 107 targeted households within the District. The LEAP intervention continues to provide financial support to extremely poor and vulnerable households, thereby improving household welfare and social inclusion.</w:t>
      </w:r>
    </w:p>
    <w:p w14:paraId="20CDCBA9">
      <w:pPr>
        <w:spacing w:line="360" w:lineRule="auto"/>
        <w:jc w:val="both"/>
        <w:rPr>
          <w:rFonts w:ascii="Times New Roman" w:hAnsi="Times New Roman" w:cs="Times New Roman"/>
          <w:b/>
          <w:bCs/>
          <w:i/>
          <w:sz w:val="24"/>
          <w:szCs w:val="24"/>
        </w:rPr>
      </w:pPr>
      <w:r>
        <w:rPr>
          <w:rFonts w:ascii="Times New Roman" w:hAnsi="Times New Roman" w:cs="Times New Roman"/>
          <w:b/>
          <w:bCs/>
          <w:i/>
          <w:sz w:val="24"/>
          <w:szCs w:val="24"/>
        </w:rPr>
        <w:t>Free Senior High School Programme</w:t>
      </w:r>
    </w:p>
    <w:p w14:paraId="120AD78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Free Senior High School Programme continued to enhance access to secondary education within the District. At the New Abirem/Afosu Senior High School, an amount of GH¢478,143.90 was allocated and fully received, benefiting 1,540 students during the quarter. Similarly, Amoana Praso Senior High School received GH¢9,000.00, which fully benefited 132 students. These interventions continue to reduce the financial burden on parents and guardians while promoting access to secondary education.</w:t>
      </w:r>
    </w:p>
    <w:p w14:paraId="44FC2F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Despite the gains made under the Free SHS Programme, some challenges persist within the beneficiary schools. New Abirem/Afosu SHS continues to face accommodation deficits, inadequate water supply, and security concerns due to increasing student population and infrastructural pressure. Amoana Praso SHS also continues to face inadequate classroom infrastructure, dormitory accommodation, and limited logistical support, which affect effective teaching and learning.</w:t>
      </w:r>
    </w:p>
    <w:p w14:paraId="19AA2A2A">
      <w:pPr>
        <w:spacing w:line="360" w:lineRule="auto"/>
        <w:jc w:val="both"/>
        <w:rPr>
          <w:rFonts w:ascii="Times New Roman" w:hAnsi="Times New Roman" w:cs="Times New Roman"/>
          <w:b/>
          <w:bCs/>
          <w:i/>
          <w:sz w:val="24"/>
          <w:szCs w:val="24"/>
        </w:rPr>
      </w:pPr>
      <w:r>
        <w:rPr>
          <w:rFonts w:ascii="Times New Roman" w:hAnsi="Times New Roman" w:cs="Times New Roman"/>
          <w:b/>
          <w:bCs/>
          <w:i/>
          <w:sz w:val="24"/>
          <w:szCs w:val="24"/>
        </w:rPr>
        <w:t>Nkoko Nkitinkiti Programme</w:t>
      </w:r>
    </w:p>
    <w:p w14:paraId="302040C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Nkoko Nkitinkiti Programme also recorded significant beneficiary coverage during the quarter, with 10,000 beneficiaries supported under the initiative. The programme is expected to contribute towards household livelihood improvement, food security, and local economic empowerment through poultry production support.</w:t>
      </w:r>
    </w:p>
    <w:p w14:paraId="60631DD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implementation of critical development and poverty reduction programmes during the First Quarter of 2026 contributed positively towards improving access to education, healthcare, social protection, and livelihood support services within the District. Programmes such as the School Feeding Programme, LEAP, NHIS, Free SHS, and Nkoko Nkitinkiti continue to provide direct support to vulnerable populations and promote inclusive development.</w:t>
      </w:r>
    </w:p>
    <w:p w14:paraId="557C965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However, challenges relating to inadequate infrastructure, delays in funding releases, operational constraints, and limited implementation of some flagship programmes continue to affect the full realization of programme objectives. Strengthening coordination among implementing agencies, ensuring timely release of funds, and addressing infrastructural gaps will be critical to improving programme effectiveness and sustaining development outcomes within the District.</w:t>
      </w:r>
    </w:p>
    <w:p w14:paraId="27A1AF7A">
      <w:pPr>
        <w:pStyle w:val="4"/>
        <w:spacing w:after="240"/>
        <w:rPr>
          <w:rFonts w:ascii="Times New Roman" w:hAnsi="Times New Roman" w:cs="Times New Roman"/>
          <w:b/>
          <w:bCs/>
          <w:i/>
          <w:iCs/>
          <w:color w:val="auto"/>
        </w:rPr>
      </w:pPr>
      <w:bookmarkStart w:id="98" w:name="_Toc230260738"/>
      <w:r>
        <w:rPr>
          <w:rFonts w:ascii="Times New Roman" w:hAnsi="Times New Roman" w:cs="Times New Roman"/>
          <w:b/>
          <w:bCs/>
          <w:i/>
          <w:iCs/>
          <w:color w:val="auto"/>
        </w:rPr>
        <w:t>2.6.2 Government Flagship Programmes Implemented in the First Quarter of 2026</w:t>
      </w:r>
      <w:bookmarkEnd w:id="98"/>
    </w:p>
    <w:p w14:paraId="00D5A38E">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First Quarter of 2026, the Birim North District Assembly, in collaboration with Government and other stakeholders, implemented a number of flagship programmes aimed at promoting environmental protection, youth empowerment, skills development, and agricultural transformation within the District.</w:t>
      </w:r>
    </w:p>
    <w:p w14:paraId="1EF035F6">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Blue Water Guard initiative</w:t>
      </w:r>
    </w:p>
    <w:p w14:paraId="0052DAC4">
      <w:pPr>
        <w:spacing w:line="360" w:lineRule="auto"/>
        <w:jc w:val="both"/>
        <w:rPr>
          <w:rFonts w:ascii="Times New Roman" w:hAnsi="Times New Roman" w:cs="Times New Roman"/>
          <w:sz w:val="24"/>
          <w:szCs w:val="24"/>
        </w:rPr>
      </w:pPr>
      <w:r>
        <w:rPr>
          <w:rFonts w:ascii="Times New Roman" w:hAnsi="Times New Roman" w:cs="Times New Roman"/>
        </w:rPr>
        <w:drawing>
          <wp:anchor distT="0" distB="0" distL="114300" distR="114300" simplePos="0" relativeHeight="251674624" behindDoc="0" locked="0" layoutInCell="1" allowOverlap="1">
            <wp:simplePos x="0" y="0"/>
            <wp:positionH relativeFrom="column">
              <wp:posOffset>3142615</wp:posOffset>
            </wp:positionH>
            <wp:positionV relativeFrom="paragraph">
              <wp:posOffset>1269365</wp:posOffset>
            </wp:positionV>
            <wp:extent cx="3424555" cy="2780665"/>
            <wp:effectExtent l="0" t="0" r="4445" b="63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3424555" cy="2780665"/>
                    </a:xfrm>
                    <a:prstGeom prst="rect">
                      <a:avLst/>
                    </a:prstGeom>
                    <a:noFill/>
                    <a:ln>
                      <a:noFill/>
                    </a:ln>
                  </pic:spPr>
                </pic:pic>
              </a:graphicData>
            </a:graphic>
          </wp:anchor>
        </w:drawing>
      </w:r>
      <w:r>
        <w:rPr>
          <w:rFonts w:ascii="Times New Roman" w:hAnsi="Times New Roman" w:cs="Times New Roman"/>
          <w:sz w:val="24"/>
          <w:szCs w:val="24"/>
        </w:rPr>
        <w:t>As part of efforts to support the fight against illegal mining and protect water bodies within the District, the Blue Water Guard initiative was officially introduced and inaugurated during the quarter under review. The programme seeks to strengthen environmental monitoring and safeguard water resources from pollution and destruction caused by illegal mining activities. The inauguration of the taskforce demonstrates Government’s commitment towards environmental sustainability and natural resource protection within mining communities.</w:t>
      </w:r>
    </w:p>
    <w:p w14:paraId="059F3942">
      <w:pPr>
        <w:pStyle w:val="8"/>
        <w:rPr>
          <w:color w:val="auto"/>
        </w:rPr>
      </w:pPr>
      <w:bookmarkStart w:id="99" w:name="_Toc229970895"/>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29</w:t>
      </w:r>
      <w:r>
        <w:rPr>
          <w:color w:val="auto"/>
        </w:rPr>
        <w:fldChar w:fldCharType="end"/>
      </w:r>
      <w:r>
        <w:rPr>
          <w:color w:val="auto"/>
        </w:rPr>
        <w:t>: INTRODUCTION AND INAUGURATION OF BLUE WATER GUARD</w:t>
      </w:r>
      <w:bookmarkEnd w:id="99"/>
    </w:p>
    <w:p w14:paraId="48643C9B">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drawing>
          <wp:inline distT="0" distB="0" distL="0" distR="0">
            <wp:extent cx="3225800" cy="28041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3245594" cy="2821353"/>
                    </a:xfrm>
                    <a:prstGeom prst="rect">
                      <a:avLst/>
                    </a:prstGeom>
                    <a:noFill/>
                    <a:ln>
                      <a:noFill/>
                    </a:ln>
                  </pic:spPr>
                </pic:pic>
              </a:graphicData>
            </a:graphic>
          </wp:inline>
        </w:drawing>
      </w:r>
    </w:p>
    <w:p w14:paraId="4875E989">
      <w:pPr>
        <w:spacing w:line="360" w:lineRule="auto"/>
        <w:jc w:val="both"/>
        <w:rPr>
          <w:rFonts w:ascii="Times New Roman" w:hAnsi="Times New Roman" w:cs="Times New Roman"/>
          <w:sz w:val="24"/>
          <w:szCs w:val="24"/>
        </w:rPr>
      </w:pPr>
      <w:r>
        <w:rPr>
          <w:rFonts w:ascii="Times New Roman" w:hAnsi="Times New Roman" w:cs="Times New Roman"/>
        </w:rPr>
        <w:drawing>
          <wp:anchor distT="0" distB="0" distL="114300" distR="114300" simplePos="0" relativeHeight="251675648" behindDoc="1" locked="0" layoutInCell="1" allowOverlap="1">
            <wp:simplePos x="0" y="0"/>
            <wp:positionH relativeFrom="margin">
              <wp:posOffset>3665855</wp:posOffset>
            </wp:positionH>
            <wp:positionV relativeFrom="paragraph">
              <wp:posOffset>991870</wp:posOffset>
            </wp:positionV>
            <wp:extent cx="3268980" cy="2752725"/>
            <wp:effectExtent l="0" t="0" r="7620" b="0"/>
            <wp:wrapTight wrapText="bothSides">
              <wp:wrapPolygon>
                <wp:start x="0" y="0"/>
                <wp:lineTo x="0" y="21376"/>
                <wp:lineTo x="21524" y="21376"/>
                <wp:lineTo x="21524"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3268980" cy="2752725"/>
                    </a:xfrm>
                    <a:prstGeom prst="rect">
                      <a:avLst/>
                    </a:prstGeom>
                    <a:noFill/>
                    <a:ln>
                      <a:noFill/>
                    </a:ln>
                  </pic:spPr>
                </pic:pic>
              </a:graphicData>
            </a:graphic>
          </wp:anchor>
        </w:drawing>
      </w:r>
      <w:r>
        <w:rPr>
          <w:rFonts w:ascii="Times New Roman" w:hAnsi="Times New Roman" w:cs="Times New Roman"/>
          <w:sz w:val="24"/>
          <w:szCs w:val="24"/>
        </w:rPr>
        <w:t>To further enhance the operations of the Blue Water Guard initiative, Mr. Isaac Arthur donated a vehicle to support operational activities of the taskforce within the District. The vehicle is expected to improve mobility, monitoring efficiency, rapid response, and operational coordination in combating illegal mining activities and protecting water bodies across affected communities.</w:t>
      </w:r>
    </w:p>
    <w:p w14:paraId="6E8D1943">
      <w:pPr>
        <w:pStyle w:val="8"/>
        <w:rPr>
          <w:color w:val="auto"/>
        </w:rPr>
      </w:pPr>
      <w:bookmarkStart w:id="100" w:name="_Toc229970896"/>
      <w:r>
        <w:rPr>
          <w:color w:val="auto"/>
        </w:rPr>
        <w:drawing>
          <wp:anchor distT="0" distB="0" distL="114300" distR="114300" simplePos="0" relativeHeight="251676672" behindDoc="1" locked="0" layoutInCell="1" allowOverlap="1">
            <wp:simplePos x="0" y="0"/>
            <wp:positionH relativeFrom="margin">
              <wp:posOffset>-60325</wp:posOffset>
            </wp:positionH>
            <wp:positionV relativeFrom="paragraph">
              <wp:posOffset>283210</wp:posOffset>
            </wp:positionV>
            <wp:extent cx="3458845" cy="2768600"/>
            <wp:effectExtent l="0" t="0" r="8255" b="0"/>
            <wp:wrapThrough wrapText="bothSides">
              <wp:wrapPolygon>
                <wp:start x="0" y="0"/>
                <wp:lineTo x="0" y="21402"/>
                <wp:lineTo x="21533" y="21402"/>
                <wp:lineTo x="21533"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458845" cy="2768600"/>
                    </a:xfrm>
                    <a:prstGeom prst="rect">
                      <a:avLst/>
                    </a:prstGeom>
                    <a:noFill/>
                    <a:ln>
                      <a:noFill/>
                    </a:ln>
                  </pic:spPr>
                </pic:pic>
              </a:graphicData>
            </a:graphic>
          </wp:anchor>
        </w:drawing>
      </w:r>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30</w:t>
      </w:r>
      <w:r>
        <w:rPr>
          <w:color w:val="auto"/>
        </w:rPr>
        <w:fldChar w:fldCharType="end"/>
      </w:r>
      <w:r>
        <w:rPr>
          <w:color w:val="auto"/>
        </w:rPr>
        <w:t>: DONATION OF VEHICLE IN SUPPORT OF BLUE WATER GUARD OPERATIONS</w:t>
      </w:r>
      <w:bookmarkEnd w:id="100"/>
    </w:p>
    <w:p w14:paraId="360F202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sz w:val="24"/>
          <w:szCs w:val="24"/>
        </w:rPr>
        <w:t>The National Apprenticeship Programme (NAP)</w:t>
      </w:r>
    </w:p>
    <w:p w14:paraId="7D50E834">
      <w:pPr>
        <w:spacing w:line="360" w:lineRule="auto"/>
        <w:jc w:val="both"/>
        <w:rPr>
          <w:rFonts w:ascii="Times New Roman" w:hAnsi="Times New Roman" w:cs="Times New Roman"/>
          <w:sz w:val="24"/>
          <w:szCs w:val="24"/>
        </w:rPr>
      </w:pPr>
      <w:r>
        <w:rPr>
          <w:rFonts w:ascii="Times New Roman" w:hAnsi="Times New Roman" w:cs="Times New Roman"/>
          <w:sz w:val="24"/>
          <w:szCs w:val="24"/>
        </w:rPr>
        <w:t>The National Apprenticeship Programme (NAP) was also implemented during the quarter with the distribution of apprenticeship learning kits to beneficiaries within the District. The initiative forms part of Government’s efforts to equip young people with employable vocational and technical skills to improve self-employment opportunities and reduce youth unemployment. Beneficiaries received various tools and equipment to support practical training and business start-ups in their respective trades.</w:t>
      </w:r>
    </w:p>
    <w:p w14:paraId="41575CFA">
      <w:pPr>
        <w:pStyle w:val="8"/>
        <w:keepNext/>
        <w:rPr>
          <w:color w:val="auto"/>
        </w:rPr>
      </w:pPr>
      <w:bookmarkStart w:id="101" w:name="_Toc229970897"/>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31</w:t>
      </w:r>
      <w:r>
        <w:rPr>
          <w:color w:val="auto"/>
        </w:rPr>
        <w:fldChar w:fldCharType="end"/>
      </w:r>
      <w:r>
        <w:rPr>
          <w:color w:val="auto"/>
        </w:rPr>
        <w:t>: DISTRIBUTION OF LEARNING KITS UNDER THE NATIONAL APPRENTICESHIP PROGRAM (NAP)</w:t>
      </w:r>
      <w:bookmarkEnd w:id="101"/>
    </w:p>
    <w:p w14:paraId="4F96C713">
      <w:pPr>
        <w:rPr>
          <w:rFonts w:ascii="Times New Roman" w:hAnsi="Times New Roman" w:cs="Times New Roman"/>
          <w:lang w:val="en-GB"/>
        </w:rPr>
      </w:pPr>
      <w:r>
        <w:rPr>
          <w:rFonts w:ascii="Times New Roman" w:hAnsi="Times New Roman" w:cs="Times New Roman"/>
        </w:rPr>
        <w:drawing>
          <wp:inline distT="0" distB="0" distL="0" distR="0">
            <wp:extent cx="3251835" cy="2673985"/>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3272896" cy="2691036"/>
                    </a:xfrm>
                    <a:prstGeom prst="rect">
                      <a:avLst/>
                    </a:prstGeom>
                    <a:noFill/>
                    <a:ln>
                      <a:noFill/>
                    </a:ln>
                  </pic:spPr>
                </pic:pic>
              </a:graphicData>
            </a:graphic>
          </wp:inline>
        </w:drawing>
      </w:r>
      <w:r>
        <w:rPr>
          <w:rFonts w:ascii="Times New Roman" w:hAnsi="Times New Roman" w:cs="Times New Roman"/>
          <w:lang w:val="en-GB"/>
        </w:rPr>
        <w:t xml:space="preserve">  </w:t>
      </w:r>
      <w:r>
        <w:rPr>
          <w:rFonts w:ascii="Times New Roman" w:hAnsi="Times New Roman" w:cs="Times New Roman"/>
        </w:rPr>
        <w:drawing>
          <wp:inline distT="0" distB="0" distL="0" distR="0">
            <wp:extent cx="3407410" cy="2684145"/>
            <wp:effectExtent l="0" t="0" r="254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3422991" cy="2696400"/>
                    </a:xfrm>
                    <a:prstGeom prst="rect">
                      <a:avLst/>
                    </a:prstGeom>
                    <a:noFill/>
                    <a:ln>
                      <a:noFill/>
                    </a:ln>
                  </pic:spPr>
                </pic:pic>
              </a:graphicData>
            </a:graphic>
          </wp:inline>
        </w:drawing>
      </w:r>
    </w:p>
    <w:p w14:paraId="665FFF17">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Nkoko Nkitinkiti Programme</w:t>
      </w:r>
    </w:p>
    <w:p w14:paraId="0BC9F15F">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 the District benefited from the implementation of the Nkoko Nkitinkiti Programme, under which chicks were distributed to beneficiaries to promote poultry production and household economic empowerment. The programme is aimed at improving food security, increasing local poultry production, creating employment opportunities, and supporting household income generation, particularly among vulnerable groups and small-scale farmers.</w:t>
      </w:r>
    </w:p>
    <w:p w14:paraId="5D3D7F16">
      <w:pPr>
        <w:pStyle w:val="8"/>
        <w:keepNext/>
        <w:rPr>
          <w:color w:val="auto"/>
        </w:rPr>
      </w:pPr>
      <w:bookmarkStart w:id="102" w:name="_Toc229970898"/>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color w:val="auto"/>
        </w:rPr>
        <w:t>32</w:t>
      </w:r>
      <w:r>
        <w:rPr>
          <w:color w:val="auto"/>
        </w:rPr>
        <w:fldChar w:fldCharType="end"/>
      </w:r>
      <w:r>
        <w:rPr>
          <w:color w:val="auto"/>
        </w:rPr>
        <w:t>: DISTRIBUTION OF CHICKS UNDER THE NKOKO NKITINKITI PROGRAMME</w:t>
      </w:r>
      <w:bookmarkEnd w:id="102"/>
    </w:p>
    <w:p w14:paraId="1B4143F7">
      <w:pPr>
        <w:rPr>
          <w:rFonts w:ascii="Times New Roman" w:hAnsi="Times New Roman" w:cs="Times New Roman"/>
        </w:rPr>
      </w:pPr>
      <w:r>
        <w:rPr>
          <w:rFonts w:ascii="Times New Roman" w:hAnsi="Times New Roman" w:cs="Times New Roman"/>
        </w:rPr>
        <w:drawing>
          <wp:inline distT="0" distB="0" distL="0" distR="0">
            <wp:extent cx="3286125" cy="293878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3322428" cy="2970758"/>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3449955" cy="293243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3469706" cy="2949772"/>
                    </a:xfrm>
                    <a:prstGeom prst="rect">
                      <a:avLst/>
                    </a:prstGeom>
                    <a:noFill/>
                    <a:ln>
                      <a:noFill/>
                    </a:ln>
                  </pic:spPr>
                </pic:pic>
              </a:graphicData>
            </a:graphic>
          </wp:inline>
        </w:drawing>
      </w:r>
    </w:p>
    <w:p w14:paraId="31D90D75">
      <w:pPr>
        <w:spacing w:line="360" w:lineRule="auto"/>
        <w:jc w:val="both"/>
        <w:rPr>
          <w:rFonts w:ascii="Times New Roman" w:hAnsi="Times New Roman" w:cs="Times New Roman"/>
          <w:sz w:val="24"/>
          <w:szCs w:val="24"/>
        </w:rPr>
      </w:pPr>
      <w:r>
        <w:rPr>
          <w:rFonts w:ascii="Times New Roman" w:hAnsi="Times New Roman" w:cs="Times New Roman"/>
          <w:sz w:val="24"/>
          <w:szCs w:val="24"/>
        </w:rPr>
        <w:t>These flagship programmes contributed positively towards environmental protection, skills development, youth empowerment, and agricultural productivity within the Birim North District during the First Quarter of 2026.</w:t>
      </w:r>
    </w:p>
    <w:p w14:paraId="0C88B295">
      <w:pPr>
        <w:pStyle w:val="3"/>
        <w:spacing w:after="240"/>
        <w:rPr>
          <w:rFonts w:ascii="Times New Roman" w:hAnsi="Times New Roman" w:cs="Times New Roman"/>
          <w:b/>
          <w:bCs/>
          <w:color w:val="auto"/>
          <w:sz w:val="24"/>
          <w:szCs w:val="24"/>
        </w:rPr>
      </w:pPr>
      <w:bookmarkStart w:id="103" w:name="_Toc230260739"/>
      <w:r>
        <w:rPr>
          <w:rFonts w:ascii="Times New Roman" w:hAnsi="Times New Roman" w:cs="Times New Roman"/>
          <w:b/>
          <w:bCs/>
          <w:color w:val="auto"/>
          <w:sz w:val="24"/>
          <w:szCs w:val="24"/>
        </w:rPr>
        <w:t>2.7 Update on District Specific Indicators for First Quarter 2026</w:t>
      </w:r>
      <w:bookmarkEnd w:id="103"/>
    </w:p>
    <w:p w14:paraId="7337C8AE">
      <w:pPr>
        <w:spacing w:line="360" w:lineRule="auto"/>
        <w:jc w:val="both"/>
        <w:rPr>
          <w:rFonts w:ascii="Times New Roman" w:hAnsi="Times New Roman" w:cs="Times New Roman"/>
          <w:sz w:val="24"/>
          <w:szCs w:val="24"/>
        </w:rPr>
      </w:pPr>
      <w:r>
        <w:rPr>
          <w:rFonts w:ascii="Times New Roman" w:hAnsi="Times New Roman" w:cs="Times New Roman"/>
          <w:sz w:val="24"/>
          <w:szCs w:val="24"/>
        </w:rPr>
        <w:t>District Specific Indicators are key performance measures developed to assess the progress and effectiveness of programmes, projects, and interventions implemented within the district. These indicators provide valuable information on the Assembly’s performance across various development dimensions, including social welfare, health, water and sanitation, child protection, education, and social intervention programmes.</w:t>
      </w:r>
    </w:p>
    <w:p w14:paraId="3E1AB126">
      <w:pPr>
        <w:spacing w:line="360" w:lineRule="auto"/>
        <w:jc w:val="both"/>
        <w:rPr>
          <w:rFonts w:ascii="Times New Roman" w:hAnsi="Times New Roman" w:cs="Times New Roman"/>
          <w:sz w:val="24"/>
          <w:szCs w:val="24"/>
        </w:rPr>
      </w:pPr>
      <w:r>
        <w:rPr>
          <w:rFonts w:ascii="Times New Roman" w:hAnsi="Times New Roman" w:cs="Times New Roman"/>
          <w:sz w:val="24"/>
          <w:szCs w:val="24"/>
        </w:rPr>
        <w:t>The indicators serve as an important monitoring and evaluation tool for tracking the implementation of activities under the Birim North District Assembly 2026–2029 Medium-Term Development Plan (MTDP) and the 2026 Annual Action Plan. They help measure achievements against set targets, identify implementation gaps, and support evidence-based decision-making for improved service delivery and resource allocation.</w:t>
      </w:r>
    </w:p>
    <w:p w14:paraId="210AD50D">
      <w:pPr>
        <w:spacing w:line="360" w:lineRule="auto"/>
        <w:jc w:val="both"/>
        <w:rPr>
          <w:rFonts w:ascii="Times New Roman" w:hAnsi="Times New Roman" w:cs="Times New Roman"/>
        </w:rPr>
      </w:pPr>
      <w:r>
        <w:rPr>
          <w:rFonts w:ascii="Times New Roman" w:hAnsi="Times New Roman" w:cs="Times New Roman"/>
          <w:sz w:val="24"/>
          <w:szCs w:val="24"/>
        </w:rPr>
        <w:t>The First Quarter 2026 assessment of the District Specific Indicators provides insight into the extent of progress made during the initial phase of implementing the new Medium-Term Development Plan. The analysis highlights areas of strong performance as well as sectors requiring additional attention, funding, and institutional support to ensure the successful achievement of the Assembly’s development objectives and improved living conditions for the people within the district.</w:t>
      </w:r>
    </w:p>
    <w:p w14:paraId="379C09D2">
      <w:pPr>
        <w:rPr>
          <w:rFonts w:ascii="Times New Roman" w:hAnsi="Times New Roman" w:cs="Times New Roman"/>
        </w:rPr>
      </w:pPr>
    </w:p>
    <w:p w14:paraId="78319CAB">
      <w:pPr>
        <w:rPr>
          <w:rFonts w:ascii="Times New Roman" w:hAnsi="Times New Roman" w:cs="Times New Roman"/>
        </w:rPr>
      </w:pPr>
    </w:p>
    <w:p w14:paraId="22545518">
      <w:pPr>
        <w:rPr>
          <w:rFonts w:ascii="Times New Roman" w:hAnsi="Times New Roman" w:cs="Times New Roman"/>
        </w:rPr>
        <w:sectPr>
          <w:pgSz w:w="12240" w:h="15840"/>
          <w:pgMar w:top="720" w:right="720" w:bottom="720" w:left="720" w:header="720" w:footer="720" w:gutter="0"/>
          <w:cols w:space="720" w:num="1"/>
          <w:docGrid w:linePitch="360" w:charSpace="0"/>
        </w:sectPr>
      </w:pPr>
    </w:p>
    <w:p w14:paraId="18512EB2">
      <w:pPr>
        <w:pStyle w:val="8"/>
        <w:keepNext/>
        <w:rPr>
          <w:b/>
          <w:bCs/>
          <w:color w:val="auto"/>
          <w:sz w:val="24"/>
          <w:szCs w:val="24"/>
        </w:rPr>
      </w:pPr>
      <w:bookmarkStart w:id="104" w:name="_Toc224427342"/>
      <w:bookmarkStart w:id="105" w:name="_Toc229970435"/>
      <w:r>
        <w:rPr>
          <w:b/>
          <w:bCs/>
          <w:color w:val="auto"/>
          <w:sz w:val="24"/>
          <w:szCs w:val="24"/>
        </w:rPr>
        <w:t xml:space="preserve">Table </w:t>
      </w:r>
      <w:r>
        <w:rPr>
          <w:b/>
          <w:bCs/>
          <w:color w:val="auto"/>
          <w:sz w:val="24"/>
          <w:szCs w:val="24"/>
        </w:rPr>
        <w:fldChar w:fldCharType="begin"/>
      </w:r>
      <w:r>
        <w:rPr>
          <w:b/>
          <w:bCs/>
          <w:color w:val="auto"/>
          <w:sz w:val="24"/>
          <w:szCs w:val="24"/>
        </w:rPr>
        <w:instrText xml:space="preserve"> SEQ Table \* ARABIC </w:instrText>
      </w:r>
      <w:r>
        <w:rPr>
          <w:b/>
          <w:bCs/>
          <w:color w:val="auto"/>
          <w:sz w:val="24"/>
          <w:szCs w:val="24"/>
        </w:rPr>
        <w:fldChar w:fldCharType="separate"/>
      </w:r>
      <w:r>
        <w:rPr>
          <w:b/>
          <w:bCs/>
          <w:color w:val="auto"/>
          <w:sz w:val="24"/>
          <w:szCs w:val="24"/>
        </w:rPr>
        <w:t>9</w:t>
      </w:r>
      <w:r>
        <w:rPr>
          <w:b/>
          <w:bCs/>
          <w:color w:val="auto"/>
          <w:sz w:val="24"/>
          <w:szCs w:val="24"/>
        </w:rPr>
        <w:fldChar w:fldCharType="end"/>
      </w:r>
      <w:r>
        <w:rPr>
          <w:b/>
          <w:bCs/>
          <w:color w:val="auto"/>
          <w:sz w:val="24"/>
          <w:szCs w:val="24"/>
        </w:rPr>
        <w:t xml:space="preserve"> : District Specific Indicators</w:t>
      </w:r>
      <w:bookmarkEnd w:id="104"/>
      <w:r>
        <w:rPr>
          <w:b/>
          <w:bCs/>
          <w:color w:val="auto"/>
          <w:sz w:val="24"/>
          <w:szCs w:val="24"/>
        </w:rPr>
        <w:t xml:space="preserve"> for First Quarter 2026</w:t>
      </w:r>
      <w:bookmarkEnd w:id="105"/>
    </w:p>
    <w:tbl>
      <w:tblPr>
        <w:tblStyle w:val="6"/>
        <w:tblW w:w="14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3870"/>
        <w:gridCol w:w="1710"/>
        <w:gridCol w:w="1530"/>
        <w:gridCol w:w="1530"/>
        <w:gridCol w:w="1440"/>
        <w:gridCol w:w="1440"/>
        <w:gridCol w:w="1350"/>
        <w:gridCol w:w="1440"/>
      </w:tblGrid>
      <w:tr w14:paraId="39BC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tcBorders>
              <w:top w:val="single" w:color="auto" w:sz="4" w:space="0"/>
              <w:left w:val="single" w:color="auto" w:sz="4" w:space="0"/>
              <w:bottom w:val="single" w:color="auto" w:sz="4" w:space="0"/>
              <w:right w:val="single" w:color="auto" w:sz="4" w:space="0"/>
            </w:tcBorders>
            <w:shd w:val="clear" w:color="auto" w:fill="BFBFBF"/>
            <w:vAlign w:val="center"/>
          </w:tcPr>
          <w:p w14:paraId="7D79263F">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S/N</w:t>
            </w:r>
          </w:p>
        </w:tc>
        <w:tc>
          <w:tcPr>
            <w:tcW w:w="3870" w:type="dxa"/>
            <w:tcBorders>
              <w:top w:val="single" w:color="auto" w:sz="4" w:space="0"/>
              <w:left w:val="single" w:color="auto" w:sz="4" w:space="0"/>
              <w:bottom w:val="single" w:color="auto" w:sz="4" w:space="0"/>
              <w:right w:val="single" w:color="auto" w:sz="4" w:space="0"/>
            </w:tcBorders>
            <w:shd w:val="clear" w:color="auto" w:fill="BFBFBF"/>
            <w:vAlign w:val="center"/>
          </w:tcPr>
          <w:p w14:paraId="2BBD38F2">
            <w:pPr>
              <w:spacing w:after="0" w:line="240" w:lineRule="auto"/>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 xml:space="preserve">Indicator (Categorised by Development Dimension </w:t>
            </w:r>
          </w:p>
        </w:tc>
        <w:tc>
          <w:tcPr>
            <w:tcW w:w="1710" w:type="dxa"/>
            <w:tcBorders>
              <w:top w:val="single" w:color="auto" w:sz="4" w:space="0"/>
              <w:left w:val="single" w:color="auto" w:sz="4" w:space="0"/>
              <w:bottom w:val="single" w:color="auto" w:sz="4" w:space="0"/>
              <w:right w:val="single" w:color="auto" w:sz="4" w:space="0"/>
            </w:tcBorders>
            <w:shd w:val="clear" w:color="auto" w:fill="BFBFBF"/>
          </w:tcPr>
          <w:p w14:paraId="153E71B6">
            <w:pPr>
              <w:spacing w:after="0" w:line="240" w:lineRule="auto"/>
              <w:jc w:val="center"/>
              <w:rPr>
                <w:rFonts w:ascii="Times New Roman" w:hAnsi="Times New Roman" w:eastAsia="Times New Roman" w:cs="Times New Roman"/>
                <w:b/>
                <w:sz w:val="20"/>
                <w:szCs w:val="20"/>
                <w:lang w:val="en-GB"/>
              </w:rPr>
            </w:pPr>
            <w:r>
              <w:rPr>
                <w:rFonts w:ascii="Times New Roman" w:hAnsi="Times New Roman" w:cs="Times New Roman"/>
                <w:b/>
                <w:bCs/>
                <w:sz w:val="20"/>
                <w:szCs w:val="20"/>
                <w:lang w:eastAsia="zh-CN" w:bidi="ar"/>
              </w:rPr>
              <w:t>Disaggregation</w:t>
            </w:r>
          </w:p>
        </w:tc>
        <w:tc>
          <w:tcPr>
            <w:tcW w:w="1530" w:type="dxa"/>
            <w:tcBorders>
              <w:top w:val="single" w:color="auto" w:sz="4" w:space="0"/>
              <w:left w:val="single" w:color="auto" w:sz="4" w:space="0"/>
              <w:bottom w:val="single" w:color="auto" w:sz="4" w:space="0"/>
              <w:right w:val="single" w:color="auto" w:sz="4" w:space="0"/>
            </w:tcBorders>
            <w:shd w:val="clear" w:color="auto" w:fill="BFBFBF"/>
            <w:vAlign w:val="center"/>
          </w:tcPr>
          <w:p w14:paraId="179D05C6">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BASE LINE 2022</w:t>
            </w:r>
          </w:p>
        </w:tc>
        <w:tc>
          <w:tcPr>
            <w:tcW w:w="1530" w:type="dxa"/>
            <w:tcBorders>
              <w:top w:val="single" w:color="auto" w:sz="4" w:space="0"/>
              <w:left w:val="single" w:color="auto" w:sz="4" w:space="0"/>
              <w:bottom w:val="single" w:color="auto" w:sz="4" w:space="0"/>
              <w:right w:val="single" w:color="auto" w:sz="4" w:space="0"/>
            </w:tcBorders>
            <w:shd w:val="clear" w:color="auto" w:fill="BFBFBF"/>
            <w:vAlign w:val="center"/>
          </w:tcPr>
          <w:p w14:paraId="7DF3284F">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Actual2023</w:t>
            </w:r>
          </w:p>
        </w:tc>
        <w:tc>
          <w:tcPr>
            <w:tcW w:w="1440" w:type="dxa"/>
            <w:tcBorders>
              <w:top w:val="single" w:color="auto" w:sz="4" w:space="0"/>
              <w:left w:val="single" w:color="auto" w:sz="4" w:space="0"/>
              <w:bottom w:val="single" w:color="auto" w:sz="4" w:space="0"/>
              <w:right w:val="single" w:color="auto" w:sz="4" w:space="0"/>
            </w:tcBorders>
            <w:shd w:val="clear" w:color="auto" w:fill="BFBFBF"/>
            <w:vAlign w:val="center"/>
          </w:tcPr>
          <w:p w14:paraId="745E656B">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Actual 2024</w:t>
            </w:r>
          </w:p>
        </w:tc>
        <w:tc>
          <w:tcPr>
            <w:tcW w:w="1440" w:type="dxa"/>
            <w:shd w:val="clear" w:color="auto" w:fill="BEBEBE" w:themeFill="background1" w:themeFillShade="BF"/>
            <w:vAlign w:val="center"/>
          </w:tcPr>
          <w:p w14:paraId="6465AA7D">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sz w:val="20"/>
                <w:szCs w:val="20"/>
                <w:lang w:val="en-GB"/>
              </w:rPr>
              <w:t>Actual 202</w:t>
            </w:r>
            <w:r>
              <w:rPr>
                <w:rFonts w:ascii="Times New Roman" w:hAnsi="Times New Roman" w:eastAsia="Times New Roman" w:cs="Times New Roman"/>
                <w:b/>
                <w:sz w:val="20"/>
                <w:szCs w:val="20"/>
              </w:rPr>
              <w:t>5</w:t>
            </w:r>
          </w:p>
        </w:tc>
        <w:tc>
          <w:tcPr>
            <w:tcW w:w="1350" w:type="dxa"/>
            <w:shd w:val="clear" w:color="auto" w:fill="BFBFBF"/>
          </w:tcPr>
          <w:p w14:paraId="2B4A578D">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TARGET 2026</w:t>
            </w:r>
          </w:p>
          <w:p w14:paraId="5E0D8367">
            <w:pPr>
              <w:jc w:val="center"/>
              <w:rPr>
                <w:rFonts w:ascii="Times New Roman" w:hAnsi="Times New Roman" w:eastAsia="Times New Roman" w:cs="Times New Roman"/>
                <w:sz w:val="20"/>
                <w:szCs w:val="20"/>
              </w:rPr>
            </w:pPr>
          </w:p>
        </w:tc>
        <w:tc>
          <w:tcPr>
            <w:tcW w:w="1440" w:type="dxa"/>
            <w:shd w:val="clear" w:color="auto" w:fill="BFBFBF"/>
          </w:tcPr>
          <w:p w14:paraId="4776F5B0">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ACTUAL 1</w:t>
            </w:r>
            <w:r>
              <w:rPr>
                <w:rFonts w:ascii="Times New Roman" w:hAnsi="Times New Roman" w:eastAsia="Times New Roman" w:cs="Times New Roman"/>
                <w:b/>
                <w:bCs/>
                <w:sz w:val="20"/>
                <w:szCs w:val="20"/>
                <w:vertAlign w:val="superscript"/>
              </w:rPr>
              <w:t>ST</w:t>
            </w:r>
            <w:r>
              <w:rPr>
                <w:rFonts w:ascii="Times New Roman" w:hAnsi="Times New Roman" w:eastAsia="Times New Roman" w:cs="Times New Roman"/>
                <w:b/>
                <w:bCs/>
                <w:sz w:val="20"/>
                <w:szCs w:val="20"/>
              </w:rPr>
              <w:t xml:space="preserve">  QTR 2026</w:t>
            </w:r>
          </w:p>
        </w:tc>
      </w:tr>
      <w:tr w14:paraId="1FF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03A3A76E">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385AC6E2">
            <w:p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Cs/>
                <w:sz w:val="20"/>
                <w:szCs w:val="20"/>
                <w:lang w:val="en-GB"/>
              </w:rPr>
              <w:t>Number of trainings conducted on ISSOPs</w:t>
            </w:r>
          </w:p>
        </w:tc>
        <w:tc>
          <w:tcPr>
            <w:tcW w:w="1710" w:type="dxa"/>
            <w:tcBorders>
              <w:top w:val="single" w:color="auto" w:sz="4" w:space="0"/>
              <w:left w:val="single" w:color="auto" w:sz="4" w:space="0"/>
              <w:bottom w:val="single" w:color="auto" w:sz="4" w:space="0"/>
              <w:right w:val="single" w:color="auto" w:sz="4" w:space="0"/>
            </w:tcBorders>
            <w:shd w:val="clear" w:color="auto" w:fill="D0CECE"/>
            <w:vAlign w:val="center"/>
          </w:tcPr>
          <w:p w14:paraId="0D8C8E1E">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6434C959">
            <w:pPr>
              <w:jc w:val="center"/>
              <w:rPr>
                <w:rFonts w:ascii="Times New Roman" w:hAnsi="Times New Roman" w:cs="Times New Roman"/>
              </w:rPr>
            </w:pPr>
            <w:r>
              <w:rPr>
                <w:rFonts w:ascii="Times New Roman" w:hAnsi="Times New Roman" w:eastAsia="Times New Roman" w:cs="Times New Roman"/>
                <w:sz w:val="20"/>
                <w:szCs w:val="20"/>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581D3ADD">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746820D3">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shd w:val="clear" w:color="auto" w:fill="D8D8D8" w:themeFill="background1" w:themeFillShade="D9"/>
          </w:tcPr>
          <w:p w14:paraId="59C0381C">
            <w:pPr>
              <w:jc w:val="center"/>
              <w:rPr>
                <w:rFonts w:ascii="Times New Roman" w:hAnsi="Times New Roman" w:cs="Times New Roman"/>
              </w:rPr>
            </w:pPr>
            <w:r>
              <w:rPr>
                <w:rFonts w:ascii="Times New Roman" w:hAnsi="Times New Roman" w:eastAsia="Times New Roman" w:cs="Times New Roman"/>
                <w:sz w:val="20"/>
                <w:szCs w:val="20"/>
              </w:rPr>
              <w:t>0</w:t>
            </w:r>
          </w:p>
        </w:tc>
        <w:tc>
          <w:tcPr>
            <w:tcW w:w="1350" w:type="dxa"/>
            <w:shd w:val="clear" w:color="auto" w:fill="D9D9D9"/>
          </w:tcPr>
          <w:p w14:paraId="3E3574F2">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shd w:val="clear" w:color="auto" w:fill="D9D9D9"/>
          </w:tcPr>
          <w:p w14:paraId="23D43B89">
            <w:pPr>
              <w:jc w:val="center"/>
              <w:rPr>
                <w:rFonts w:ascii="Times New Roman" w:hAnsi="Times New Roman" w:cs="Times New Roman"/>
              </w:rPr>
            </w:pPr>
            <w:r>
              <w:rPr>
                <w:rFonts w:ascii="Times New Roman" w:hAnsi="Times New Roman" w:eastAsia="Times New Roman" w:cs="Times New Roman"/>
                <w:sz w:val="20"/>
                <w:szCs w:val="20"/>
              </w:rPr>
              <w:t>0</w:t>
            </w:r>
          </w:p>
        </w:tc>
      </w:tr>
      <w:tr w14:paraId="2C49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3F32557C">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09064B8B">
            <w:pPr>
              <w:spacing w:after="0" w:line="240" w:lineRule="auto"/>
              <w:rPr>
                <w:rFonts w:ascii="Times New Roman" w:hAnsi="Times New Roman" w:eastAsia="Times New Roman" w:cs="Times New Roman"/>
                <w:bCs/>
                <w:sz w:val="20"/>
                <w:szCs w:val="20"/>
                <w:lang w:val="en-GB"/>
              </w:rPr>
            </w:pPr>
            <w:r>
              <w:rPr>
                <w:rFonts w:ascii="Times New Roman" w:hAnsi="Times New Roman" w:eastAsia="Times New Roman" w:cs="Times New Roman"/>
                <w:bCs/>
                <w:sz w:val="20"/>
                <w:szCs w:val="20"/>
                <w:lang w:val="en-GB"/>
              </w:rPr>
              <w:t>Proportion of case workers trained in child protection and family welfare</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18CD0A3">
            <w:pPr>
              <w:jc w:val="center"/>
              <w:rPr>
                <w:rFonts w:ascii="Times New Roman" w:hAnsi="Times New Roman" w:cs="Times New Roman"/>
              </w:rPr>
            </w:pPr>
            <w:r>
              <w:rPr>
                <w:rFonts w:ascii="Times New Roman" w:hAnsi="Times New Roman" w:eastAsia="Times New Roman" w:cs="Times New Roman"/>
                <w:sz w:val="20"/>
                <w:szCs w:val="20"/>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222CDF73">
            <w:pPr>
              <w:jc w:val="center"/>
              <w:rPr>
                <w:rFonts w:ascii="Times New Roman" w:hAnsi="Times New Roman" w:cs="Times New Roman"/>
              </w:rPr>
            </w:pPr>
            <w:r>
              <w:rPr>
                <w:rFonts w:ascii="Times New Roman" w:hAnsi="Times New Roman" w:eastAsia="Times New Roman" w:cs="Times New Roman"/>
                <w:sz w:val="20"/>
                <w:szCs w:val="20"/>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2E84F746">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3E0F109F">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shd w:val="clear" w:color="auto" w:fill="D8D8D8" w:themeFill="background1" w:themeFillShade="D9"/>
          </w:tcPr>
          <w:p w14:paraId="62FD7595">
            <w:pPr>
              <w:jc w:val="center"/>
              <w:rPr>
                <w:rFonts w:ascii="Times New Roman" w:hAnsi="Times New Roman" w:cs="Times New Roman"/>
              </w:rPr>
            </w:pPr>
            <w:r>
              <w:rPr>
                <w:rFonts w:ascii="Times New Roman" w:hAnsi="Times New Roman" w:eastAsia="Times New Roman" w:cs="Times New Roman"/>
                <w:sz w:val="20"/>
                <w:szCs w:val="20"/>
              </w:rPr>
              <w:t>0</w:t>
            </w:r>
          </w:p>
        </w:tc>
        <w:tc>
          <w:tcPr>
            <w:tcW w:w="1350" w:type="dxa"/>
            <w:shd w:val="clear" w:color="auto" w:fill="D9D9D9"/>
          </w:tcPr>
          <w:p w14:paraId="3094BC75">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shd w:val="clear" w:color="auto" w:fill="D9D9D9"/>
          </w:tcPr>
          <w:p w14:paraId="550E9A7C">
            <w:pPr>
              <w:jc w:val="center"/>
              <w:rPr>
                <w:rFonts w:ascii="Times New Roman" w:hAnsi="Times New Roman" w:cs="Times New Roman"/>
              </w:rPr>
            </w:pPr>
            <w:r>
              <w:rPr>
                <w:rFonts w:ascii="Times New Roman" w:hAnsi="Times New Roman" w:eastAsia="Times New Roman" w:cs="Times New Roman"/>
                <w:sz w:val="20"/>
                <w:szCs w:val="20"/>
              </w:rPr>
              <w:t>0</w:t>
            </w:r>
          </w:p>
        </w:tc>
      </w:tr>
      <w:tr w14:paraId="7B0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19D6CAF2">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60345D96">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child violence cases benefitting from social welfare/social services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3F71BC2">
            <w:pPr>
              <w:jc w:val="center"/>
              <w:rPr>
                <w:rFonts w:ascii="Times New Roman" w:hAnsi="Times New Roman" w:cs="Times New Roman"/>
              </w:rPr>
            </w:pPr>
            <w:r>
              <w:rPr>
                <w:rFonts w:ascii="Times New Roman" w:hAnsi="Times New Roman" w:eastAsia="Times New Roman" w:cs="Times New Roman"/>
                <w:sz w:val="20"/>
                <w:szCs w:val="20"/>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49F0BA44">
            <w:pPr>
              <w:jc w:val="center"/>
              <w:rPr>
                <w:rFonts w:ascii="Times New Roman" w:hAnsi="Times New Roman" w:cs="Times New Roman"/>
              </w:rPr>
            </w:pPr>
            <w:r>
              <w:rPr>
                <w:rFonts w:ascii="Times New Roman" w:hAnsi="Times New Roman" w:eastAsia="Times New Roman" w:cs="Times New Roman"/>
                <w:sz w:val="20"/>
                <w:szCs w:val="20"/>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3326A5E9">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6CB7A200">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shd w:val="clear" w:color="auto" w:fill="D8D8D8" w:themeFill="background1" w:themeFillShade="D9"/>
          </w:tcPr>
          <w:p w14:paraId="5BCEC958">
            <w:pPr>
              <w:jc w:val="center"/>
              <w:rPr>
                <w:rFonts w:ascii="Times New Roman" w:hAnsi="Times New Roman" w:cs="Times New Roman"/>
              </w:rPr>
            </w:pPr>
            <w:r>
              <w:rPr>
                <w:rFonts w:ascii="Times New Roman" w:hAnsi="Times New Roman" w:eastAsia="Times New Roman" w:cs="Times New Roman"/>
                <w:sz w:val="20"/>
                <w:szCs w:val="20"/>
              </w:rPr>
              <w:t>0</w:t>
            </w:r>
          </w:p>
        </w:tc>
        <w:tc>
          <w:tcPr>
            <w:tcW w:w="1350" w:type="dxa"/>
            <w:shd w:val="clear" w:color="auto" w:fill="D9D9D9"/>
          </w:tcPr>
          <w:p w14:paraId="270F0BD0">
            <w:pPr>
              <w:jc w:val="center"/>
              <w:rPr>
                <w:rFonts w:ascii="Times New Roman" w:hAnsi="Times New Roman" w:cs="Times New Roman"/>
              </w:rPr>
            </w:pPr>
            <w:r>
              <w:rPr>
                <w:rFonts w:ascii="Times New Roman" w:hAnsi="Times New Roman" w:eastAsia="Times New Roman" w:cs="Times New Roman"/>
                <w:sz w:val="20"/>
                <w:szCs w:val="20"/>
              </w:rPr>
              <w:t>0</w:t>
            </w:r>
          </w:p>
        </w:tc>
        <w:tc>
          <w:tcPr>
            <w:tcW w:w="1440" w:type="dxa"/>
            <w:shd w:val="clear" w:color="auto" w:fill="D9D9D9"/>
          </w:tcPr>
          <w:p w14:paraId="0744F20C">
            <w:pPr>
              <w:jc w:val="center"/>
              <w:rPr>
                <w:rFonts w:ascii="Times New Roman" w:hAnsi="Times New Roman" w:cs="Times New Roman"/>
              </w:rPr>
            </w:pPr>
            <w:r>
              <w:rPr>
                <w:rFonts w:ascii="Times New Roman" w:hAnsi="Times New Roman" w:eastAsia="Times New Roman" w:cs="Times New Roman"/>
                <w:sz w:val="20"/>
                <w:szCs w:val="20"/>
              </w:rPr>
              <w:t>0</w:t>
            </w:r>
          </w:p>
        </w:tc>
      </w:tr>
      <w:tr w14:paraId="1516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41BAB588">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4</w:t>
            </w:r>
          </w:p>
        </w:tc>
        <w:tc>
          <w:tcPr>
            <w:tcW w:w="3870" w:type="dxa"/>
            <w:vMerge w:val="restart"/>
            <w:tcBorders>
              <w:top w:val="single" w:color="auto" w:sz="4" w:space="0"/>
              <w:left w:val="single" w:color="auto" w:sz="4" w:space="0"/>
              <w:right w:val="single" w:color="auto" w:sz="4" w:space="0"/>
            </w:tcBorders>
            <w:shd w:val="clear" w:color="auto" w:fill="D9D9D9"/>
            <w:vAlign w:val="center"/>
          </w:tcPr>
          <w:p w14:paraId="32D307EF">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children reached by social work/social services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64E43A62">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22A0A44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07CB407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1B74D4B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6C1084B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350" w:type="dxa"/>
            <w:shd w:val="clear" w:color="auto" w:fill="D9D9D9"/>
            <w:vAlign w:val="center"/>
          </w:tcPr>
          <w:p w14:paraId="50C0F27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9D9D9"/>
            <w:vAlign w:val="center"/>
          </w:tcPr>
          <w:p w14:paraId="1523AFA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9</w:t>
            </w:r>
          </w:p>
        </w:tc>
      </w:tr>
      <w:tr w14:paraId="5057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right w:val="single" w:color="auto" w:sz="4" w:space="0"/>
            </w:tcBorders>
            <w:shd w:val="clear" w:color="auto" w:fill="D9D9D9"/>
            <w:vAlign w:val="center"/>
          </w:tcPr>
          <w:p w14:paraId="1A14EB7F">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right w:val="single" w:color="auto" w:sz="4" w:space="0"/>
            </w:tcBorders>
            <w:shd w:val="clear" w:color="auto" w:fill="D9D9D9"/>
            <w:vAlign w:val="center"/>
          </w:tcPr>
          <w:p w14:paraId="2F9B1AD7">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6C616A5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03898D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464B594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53ACBA0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246A8CF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350" w:type="dxa"/>
            <w:shd w:val="clear" w:color="auto" w:fill="D9D9D9"/>
            <w:vAlign w:val="center"/>
          </w:tcPr>
          <w:p w14:paraId="26ADDBE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3</w:t>
            </w:r>
          </w:p>
        </w:tc>
        <w:tc>
          <w:tcPr>
            <w:tcW w:w="1440" w:type="dxa"/>
            <w:shd w:val="clear" w:color="auto" w:fill="D9D9D9"/>
            <w:vAlign w:val="center"/>
          </w:tcPr>
          <w:p w14:paraId="76DB264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7</w:t>
            </w:r>
          </w:p>
        </w:tc>
      </w:tr>
      <w:tr w14:paraId="42BC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bottom w:val="single" w:color="auto" w:sz="4" w:space="0"/>
              <w:right w:val="single" w:color="auto" w:sz="4" w:space="0"/>
            </w:tcBorders>
            <w:shd w:val="clear" w:color="auto" w:fill="D9D9D9"/>
            <w:vAlign w:val="center"/>
          </w:tcPr>
          <w:p w14:paraId="482033BE">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bottom w:val="single" w:color="auto" w:sz="4" w:space="0"/>
              <w:right w:val="single" w:color="auto" w:sz="4" w:space="0"/>
            </w:tcBorders>
            <w:shd w:val="clear" w:color="auto" w:fill="D9D9D9"/>
            <w:vAlign w:val="center"/>
          </w:tcPr>
          <w:p w14:paraId="166DE747">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114E4DD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040BCED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40A393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2741AE2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1DC3BAD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350" w:type="dxa"/>
            <w:shd w:val="clear" w:color="auto" w:fill="D9D9D9"/>
            <w:vAlign w:val="center"/>
          </w:tcPr>
          <w:p w14:paraId="78E43A79">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w:t>
            </w:r>
          </w:p>
        </w:tc>
        <w:tc>
          <w:tcPr>
            <w:tcW w:w="1440" w:type="dxa"/>
            <w:shd w:val="clear" w:color="auto" w:fill="D9D9D9"/>
            <w:vAlign w:val="center"/>
          </w:tcPr>
          <w:p w14:paraId="66A428C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w:t>
            </w:r>
          </w:p>
        </w:tc>
      </w:tr>
      <w:tr w14:paraId="4CD7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650EC68E">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w:t>
            </w:r>
          </w:p>
        </w:tc>
        <w:tc>
          <w:tcPr>
            <w:tcW w:w="3870" w:type="dxa"/>
            <w:vMerge w:val="restart"/>
            <w:tcBorders>
              <w:top w:val="single" w:color="auto" w:sz="4" w:space="0"/>
              <w:left w:val="single" w:color="auto" w:sz="4" w:space="0"/>
              <w:right w:val="single" w:color="auto" w:sz="4" w:space="0"/>
            </w:tcBorders>
            <w:shd w:val="clear" w:color="auto" w:fill="D9D9D9"/>
            <w:vAlign w:val="center"/>
          </w:tcPr>
          <w:p w14:paraId="02E4137A">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Number of people reached with child protection and SGBV information </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2CBD34A">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075788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159EB2A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043979E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2C0671B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350" w:type="dxa"/>
            <w:shd w:val="clear" w:color="auto" w:fill="D9D9D9"/>
            <w:vAlign w:val="center"/>
          </w:tcPr>
          <w:p w14:paraId="0E44D79E">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30</w:t>
            </w:r>
          </w:p>
        </w:tc>
        <w:tc>
          <w:tcPr>
            <w:tcW w:w="1440" w:type="dxa"/>
            <w:shd w:val="clear" w:color="auto" w:fill="D9D9D9"/>
            <w:vAlign w:val="center"/>
          </w:tcPr>
          <w:p w14:paraId="021077FB">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3976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right w:val="single" w:color="auto" w:sz="4" w:space="0"/>
            </w:tcBorders>
            <w:shd w:val="clear" w:color="auto" w:fill="D9D9D9"/>
            <w:vAlign w:val="center"/>
          </w:tcPr>
          <w:p w14:paraId="060CAD71">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right w:val="single" w:color="auto" w:sz="4" w:space="0"/>
            </w:tcBorders>
            <w:shd w:val="clear" w:color="auto" w:fill="D9D9D9"/>
            <w:vAlign w:val="center"/>
          </w:tcPr>
          <w:p w14:paraId="2F667370">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86749B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D8288A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13C2475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1F379D10">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33913B1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350" w:type="dxa"/>
            <w:shd w:val="clear" w:color="auto" w:fill="D9D9D9"/>
            <w:vAlign w:val="center"/>
          </w:tcPr>
          <w:p w14:paraId="6594B7B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10</w:t>
            </w:r>
          </w:p>
        </w:tc>
        <w:tc>
          <w:tcPr>
            <w:tcW w:w="1440" w:type="dxa"/>
            <w:shd w:val="clear" w:color="auto" w:fill="D9D9D9"/>
            <w:vAlign w:val="center"/>
          </w:tcPr>
          <w:p w14:paraId="155A04CA">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3AF2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bottom w:val="single" w:color="auto" w:sz="4" w:space="0"/>
              <w:right w:val="single" w:color="auto" w:sz="4" w:space="0"/>
            </w:tcBorders>
            <w:shd w:val="clear" w:color="auto" w:fill="D9D9D9"/>
            <w:vAlign w:val="center"/>
          </w:tcPr>
          <w:p w14:paraId="0ED38A41">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bottom w:val="single" w:color="auto" w:sz="4" w:space="0"/>
              <w:right w:val="single" w:color="auto" w:sz="4" w:space="0"/>
            </w:tcBorders>
            <w:shd w:val="clear" w:color="auto" w:fill="D9D9D9"/>
            <w:vAlign w:val="center"/>
          </w:tcPr>
          <w:p w14:paraId="646B8D8B">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D21F49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AB1690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3316E40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1037642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vAlign w:val="center"/>
          </w:tcPr>
          <w:p w14:paraId="380AAE3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350" w:type="dxa"/>
            <w:shd w:val="clear" w:color="auto" w:fill="D9D9D9"/>
            <w:vAlign w:val="center"/>
          </w:tcPr>
          <w:p w14:paraId="0CCA8A1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20</w:t>
            </w:r>
          </w:p>
        </w:tc>
        <w:tc>
          <w:tcPr>
            <w:tcW w:w="1440" w:type="dxa"/>
            <w:shd w:val="clear" w:color="auto" w:fill="D9D9D9"/>
            <w:vAlign w:val="center"/>
          </w:tcPr>
          <w:p w14:paraId="511F5AFB">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094F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7AAEB3B9">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w:t>
            </w:r>
          </w:p>
        </w:tc>
        <w:tc>
          <w:tcPr>
            <w:tcW w:w="3870" w:type="dxa"/>
            <w:vMerge w:val="restart"/>
            <w:tcBorders>
              <w:top w:val="single" w:color="auto" w:sz="4" w:space="0"/>
              <w:left w:val="single" w:color="auto" w:sz="4" w:space="0"/>
              <w:right w:val="single" w:color="auto" w:sz="4" w:space="0"/>
            </w:tcBorders>
            <w:shd w:val="clear" w:color="auto" w:fill="D9D9D9"/>
            <w:vAlign w:val="center"/>
          </w:tcPr>
          <w:p w14:paraId="1B31B9D1">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LEAP household members on NHIS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DB25945">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1E179DC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0B0DDDB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12</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2DFEEB2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50</w:t>
            </w:r>
          </w:p>
        </w:tc>
        <w:tc>
          <w:tcPr>
            <w:tcW w:w="1440" w:type="dxa"/>
            <w:shd w:val="clear" w:color="auto" w:fill="D8D8D8" w:themeFill="background1" w:themeFillShade="D9"/>
            <w:vAlign w:val="center"/>
          </w:tcPr>
          <w:p w14:paraId="279009D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37</w:t>
            </w:r>
          </w:p>
        </w:tc>
        <w:tc>
          <w:tcPr>
            <w:tcW w:w="1350" w:type="dxa"/>
            <w:shd w:val="clear" w:color="auto" w:fill="D9D9D9"/>
            <w:vAlign w:val="center"/>
          </w:tcPr>
          <w:p w14:paraId="5BD557D0">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833</w:t>
            </w:r>
          </w:p>
        </w:tc>
        <w:tc>
          <w:tcPr>
            <w:tcW w:w="1440" w:type="dxa"/>
            <w:shd w:val="clear" w:color="auto" w:fill="D9D9D9"/>
            <w:vAlign w:val="center"/>
          </w:tcPr>
          <w:p w14:paraId="2296ABF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833</w:t>
            </w:r>
          </w:p>
        </w:tc>
      </w:tr>
      <w:tr w14:paraId="3208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right w:val="single" w:color="auto" w:sz="4" w:space="0"/>
            </w:tcBorders>
            <w:shd w:val="clear" w:color="auto" w:fill="D9D9D9"/>
            <w:vAlign w:val="center"/>
          </w:tcPr>
          <w:p w14:paraId="38B93BE8">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right w:val="single" w:color="auto" w:sz="4" w:space="0"/>
            </w:tcBorders>
            <w:shd w:val="clear" w:color="auto" w:fill="D9D9D9"/>
            <w:vAlign w:val="center"/>
          </w:tcPr>
          <w:p w14:paraId="353C14D7">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CF8429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3B2057F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959</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2DAFA1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1,315</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05B9250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1,500</w:t>
            </w:r>
          </w:p>
        </w:tc>
        <w:tc>
          <w:tcPr>
            <w:tcW w:w="1440" w:type="dxa"/>
            <w:shd w:val="clear" w:color="auto" w:fill="D8D8D8" w:themeFill="background1" w:themeFillShade="D9"/>
            <w:vAlign w:val="center"/>
          </w:tcPr>
          <w:p w14:paraId="2ACDCA12">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536</w:t>
            </w:r>
          </w:p>
        </w:tc>
        <w:tc>
          <w:tcPr>
            <w:tcW w:w="1350" w:type="dxa"/>
            <w:shd w:val="clear" w:color="auto" w:fill="D9D9D9"/>
            <w:vAlign w:val="center"/>
          </w:tcPr>
          <w:p w14:paraId="33CDD02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366</w:t>
            </w:r>
          </w:p>
        </w:tc>
        <w:tc>
          <w:tcPr>
            <w:tcW w:w="1440" w:type="dxa"/>
            <w:shd w:val="clear" w:color="auto" w:fill="D9D9D9"/>
            <w:vAlign w:val="center"/>
          </w:tcPr>
          <w:p w14:paraId="79B86506">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366</w:t>
            </w:r>
          </w:p>
        </w:tc>
      </w:tr>
      <w:tr w14:paraId="2286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bottom w:val="single" w:color="auto" w:sz="4" w:space="0"/>
              <w:right w:val="single" w:color="auto" w:sz="4" w:space="0"/>
            </w:tcBorders>
            <w:shd w:val="clear" w:color="auto" w:fill="D9D9D9"/>
            <w:vAlign w:val="center"/>
          </w:tcPr>
          <w:p w14:paraId="103F69EF">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bottom w:val="single" w:color="auto" w:sz="4" w:space="0"/>
              <w:right w:val="single" w:color="auto" w:sz="4" w:space="0"/>
            </w:tcBorders>
            <w:shd w:val="clear" w:color="auto" w:fill="D9D9D9"/>
            <w:vAlign w:val="center"/>
          </w:tcPr>
          <w:p w14:paraId="6BCFA8EC">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1890614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5F141F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641</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437C00F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641</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073DB69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641</w:t>
            </w:r>
          </w:p>
        </w:tc>
        <w:tc>
          <w:tcPr>
            <w:tcW w:w="1440" w:type="dxa"/>
            <w:shd w:val="clear" w:color="auto" w:fill="D8D8D8" w:themeFill="background1" w:themeFillShade="D9"/>
            <w:vAlign w:val="center"/>
          </w:tcPr>
          <w:p w14:paraId="65933EF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641</w:t>
            </w:r>
          </w:p>
        </w:tc>
        <w:tc>
          <w:tcPr>
            <w:tcW w:w="1350" w:type="dxa"/>
            <w:shd w:val="clear" w:color="auto" w:fill="D9D9D9"/>
            <w:vAlign w:val="center"/>
          </w:tcPr>
          <w:p w14:paraId="5CE3375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467</w:t>
            </w:r>
          </w:p>
        </w:tc>
        <w:tc>
          <w:tcPr>
            <w:tcW w:w="1440" w:type="dxa"/>
            <w:shd w:val="clear" w:color="auto" w:fill="D9D9D9"/>
            <w:vAlign w:val="center"/>
          </w:tcPr>
          <w:p w14:paraId="13CFB604">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467</w:t>
            </w:r>
          </w:p>
        </w:tc>
      </w:tr>
      <w:tr w14:paraId="064A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1BDD65D2">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7</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1797FB30">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 xml:space="preserve">Number of households with adolescent girls benefiting from LEAP </w:t>
            </w:r>
          </w:p>
        </w:tc>
        <w:tc>
          <w:tcPr>
            <w:tcW w:w="1710" w:type="dxa"/>
            <w:tcBorders>
              <w:top w:val="single" w:color="auto" w:sz="4" w:space="0"/>
              <w:left w:val="single" w:color="auto" w:sz="4" w:space="0"/>
              <w:bottom w:val="single" w:color="auto" w:sz="4" w:space="0"/>
              <w:right w:val="single" w:color="auto" w:sz="4" w:space="0"/>
            </w:tcBorders>
            <w:shd w:val="clear" w:color="auto" w:fill="D0CECE"/>
            <w:vAlign w:val="center"/>
          </w:tcPr>
          <w:p w14:paraId="3C8C285F">
            <w:pPr>
              <w:spacing w:after="0" w:line="240" w:lineRule="auto"/>
              <w:jc w:val="center"/>
              <w:rPr>
                <w:rFonts w:ascii="Times New Roman" w:hAnsi="Times New Roman" w:eastAsia="Times New Roman" w:cs="Times New Roman"/>
                <w:sz w:val="20"/>
                <w:szCs w:val="20"/>
              </w:rPr>
            </w:pP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7F5865F">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15</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130DDC0">
            <w:pPr>
              <w:spacing w:after="0" w:line="240" w:lineRule="auto"/>
              <w:jc w:val="center"/>
              <w:rPr>
                <w:rFonts w:ascii="Times New Roman" w:hAnsi="Times New Roman" w:eastAsia="Times New Roman" w:cs="Times New Roman"/>
                <w:bCs/>
                <w:sz w:val="20"/>
                <w:szCs w:val="20"/>
              </w:rPr>
            </w:pPr>
            <w:r>
              <w:rPr>
                <w:rFonts w:ascii="Times New Roman" w:hAnsi="Times New Roman" w:eastAsia="Times New Roman" w:cs="Times New Roman"/>
                <w:sz w:val="20"/>
                <w:szCs w:val="20"/>
              </w:rPr>
              <w:t>66</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5AB7F686">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68</w:t>
            </w:r>
          </w:p>
        </w:tc>
        <w:tc>
          <w:tcPr>
            <w:tcW w:w="1440" w:type="dxa"/>
            <w:shd w:val="clear" w:color="auto" w:fill="D8D8D8" w:themeFill="background1" w:themeFillShade="D9"/>
            <w:vAlign w:val="center"/>
          </w:tcPr>
          <w:p w14:paraId="5E796279">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69</w:t>
            </w:r>
          </w:p>
        </w:tc>
        <w:tc>
          <w:tcPr>
            <w:tcW w:w="1350" w:type="dxa"/>
            <w:shd w:val="clear" w:color="auto" w:fill="D9D9D9"/>
            <w:vAlign w:val="center"/>
          </w:tcPr>
          <w:p w14:paraId="71C3961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70</w:t>
            </w:r>
          </w:p>
        </w:tc>
        <w:tc>
          <w:tcPr>
            <w:tcW w:w="1440" w:type="dxa"/>
            <w:shd w:val="clear" w:color="auto" w:fill="D9D9D9"/>
            <w:vAlign w:val="center"/>
          </w:tcPr>
          <w:p w14:paraId="77620443">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68</w:t>
            </w:r>
          </w:p>
        </w:tc>
      </w:tr>
      <w:tr w14:paraId="022A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70618936">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8</w:t>
            </w:r>
          </w:p>
        </w:tc>
        <w:tc>
          <w:tcPr>
            <w:tcW w:w="3870" w:type="dxa"/>
            <w:vMerge w:val="restart"/>
            <w:tcBorders>
              <w:top w:val="single" w:color="auto" w:sz="4" w:space="0"/>
              <w:left w:val="single" w:color="auto" w:sz="4" w:space="0"/>
              <w:right w:val="single" w:color="auto" w:sz="4" w:space="0"/>
            </w:tcBorders>
            <w:shd w:val="clear" w:color="auto" w:fill="D9D9D9"/>
            <w:vAlign w:val="center"/>
          </w:tcPr>
          <w:p w14:paraId="68D9BF5F">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outreach visits to communities with LEAP households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48F88F1">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11852878">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2</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3C6E4FC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6EF8148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22</w:t>
            </w:r>
          </w:p>
        </w:tc>
        <w:tc>
          <w:tcPr>
            <w:tcW w:w="1440" w:type="dxa"/>
            <w:shd w:val="clear" w:color="auto" w:fill="D8D8D8" w:themeFill="background1" w:themeFillShade="D9"/>
            <w:vAlign w:val="center"/>
          </w:tcPr>
          <w:p w14:paraId="3E3893ED">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12</w:t>
            </w:r>
          </w:p>
        </w:tc>
        <w:tc>
          <w:tcPr>
            <w:tcW w:w="1350" w:type="dxa"/>
            <w:shd w:val="clear" w:color="auto" w:fill="D9D9D9"/>
            <w:vAlign w:val="center"/>
          </w:tcPr>
          <w:p w14:paraId="1B8FC1F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15</w:t>
            </w:r>
          </w:p>
        </w:tc>
        <w:tc>
          <w:tcPr>
            <w:tcW w:w="1440" w:type="dxa"/>
            <w:shd w:val="clear" w:color="auto" w:fill="D9D9D9"/>
            <w:vAlign w:val="center"/>
          </w:tcPr>
          <w:p w14:paraId="7510020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9</w:t>
            </w:r>
          </w:p>
        </w:tc>
      </w:tr>
      <w:tr w14:paraId="6B81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right w:val="single" w:color="auto" w:sz="4" w:space="0"/>
            </w:tcBorders>
            <w:shd w:val="clear" w:color="auto" w:fill="D9D9D9"/>
            <w:vAlign w:val="center"/>
          </w:tcPr>
          <w:p w14:paraId="3FBB0C41">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right w:val="single" w:color="auto" w:sz="4" w:space="0"/>
            </w:tcBorders>
            <w:shd w:val="clear" w:color="auto" w:fill="D9D9D9"/>
            <w:vAlign w:val="center"/>
          </w:tcPr>
          <w:p w14:paraId="05D1DFC1">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F8193D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0911060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6D2033F8">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0776A89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10</w:t>
            </w:r>
          </w:p>
        </w:tc>
        <w:tc>
          <w:tcPr>
            <w:tcW w:w="1440" w:type="dxa"/>
            <w:shd w:val="clear" w:color="auto" w:fill="D8D8D8" w:themeFill="background1" w:themeFillShade="D9"/>
            <w:vAlign w:val="center"/>
          </w:tcPr>
          <w:p w14:paraId="6E2F115B">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3</w:t>
            </w:r>
          </w:p>
        </w:tc>
        <w:tc>
          <w:tcPr>
            <w:tcW w:w="1350" w:type="dxa"/>
            <w:shd w:val="clear" w:color="auto" w:fill="D9D9D9"/>
            <w:vAlign w:val="center"/>
          </w:tcPr>
          <w:p w14:paraId="1EB9C21A">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5</w:t>
            </w:r>
          </w:p>
        </w:tc>
        <w:tc>
          <w:tcPr>
            <w:tcW w:w="1440" w:type="dxa"/>
            <w:shd w:val="clear" w:color="auto" w:fill="D9D9D9"/>
            <w:vAlign w:val="center"/>
          </w:tcPr>
          <w:p w14:paraId="5758249A">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548B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bottom w:val="single" w:color="auto" w:sz="4" w:space="0"/>
              <w:right w:val="single" w:color="auto" w:sz="4" w:space="0"/>
            </w:tcBorders>
            <w:shd w:val="clear" w:color="auto" w:fill="D9D9D9"/>
            <w:vAlign w:val="center"/>
          </w:tcPr>
          <w:p w14:paraId="52F1425E">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bottom w:val="single" w:color="auto" w:sz="4" w:space="0"/>
              <w:right w:val="single" w:color="auto" w:sz="4" w:space="0"/>
            </w:tcBorders>
            <w:shd w:val="clear" w:color="auto" w:fill="D9D9D9"/>
            <w:vAlign w:val="center"/>
          </w:tcPr>
          <w:p w14:paraId="0C8BEA24">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6EA2205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5CBEE14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21D61606">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2D17AFD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12</w:t>
            </w:r>
          </w:p>
        </w:tc>
        <w:tc>
          <w:tcPr>
            <w:tcW w:w="1440" w:type="dxa"/>
            <w:shd w:val="clear" w:color="auto" w:fill="D8D8D8" w:themeFill="background1" w:themeFillShade="D9"/>
            <w:vAlign w:val="center"/>
          </w:tcPr>
          <w:p w14:paraId="00C24FE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9</w:t>
            </w:r>
          </w:p>
        </w:tc>
        <w:tc>
          <w:tcPr>
            <w:tcW w:w="1350" w:type="dxa"/>
            <w:shd w:val="clear" w:color="auto" w:fill="D9D9D9"/>
            <w:vAlign w:val="center"/>
          </w:tcPr>
          <w:p w14:paraId="39814277">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10</w:t>
            </w:r>
          </w:p>
        </w:tc>
        <w:tc>
          <w:tcPr>
            <w:tcW w:w="1440" w:type="dxa"/>
            <w:shd w:val="clear" w:color="auto" w:fill="D9D9D9"/>
            <w:vAlign w:val="center"/>
          </w:tcPr>
          <w:p w14:paraId="2EDFA36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9</w:t>
            </w:r>
          </w:p>
        </w:tc>
      </w:tr>
      <w:tr w14:paraId="0878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restart"/>
            <w:tcBorders>
              <w:top w:val="single" w:color="auto" w:sz="4" w:space="0"/>
              <w:left w:val="single" w:color="auto" w:sz="4" w:space="0"/>
              <w:right w:val="single" w:color="auto" w:sz="4" w:space="0"/>
            </w:tcBorders>
            <w:shd w:val="clear" w:color="auto" w:fill="D9D9D9"/>
            <w:vAlign w:val="center"/>
          </w:tcPr>
          <w:p w14:paraId="0680F289">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9</w:t>
            </w:r>
          </w:p>
        </w:tc>
        <w:tc>
          <w:tcPr>
            <w:tcW w:w="3870" w:type="dxa"/>
            <w:vMerge w:val="restart"/>
            <w:tcBorders>
              <w:top w:val="single" w:color="auto" w:sz="4" w:space="0"/>
              <w:left w:val="single" w:color="auto" w:sz="4" w:space="0"/>
              <w:right w:val="single" w:color="auto" w:sz="4" w:space="0"/>
            </w:tcBorders>
            <w:shd w:val="clear" w:color="auto" w:fill="D9D9D9"/>
            <w:vAlign w:val="center"/>
          </w:tcPr>
          <w:p w14:paraId="1BE512D1">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referrals received from GHS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3E0F9360">
            <w:pPr>
              <w:spacing w:after="0" w:line="240" w:lineRule="auto"/>
              <w:jc w:val="center"/>
              <w:rPr>
                <w:rFonts w:ascii="Times New Roman" w:hAnsi="Times New Roman" w:eastAsia="Times New Roman" w:cs="Times New Roman"/>
                <w:b/>
                <w:sz w:val="20"/>
                <w:szCs w:val="20"/>
                <w:lang w:val="en-GB"/>
              </w:rPr>
            </w:pPr>
            <w:r>
              <w:rPr>
                <w:rFonts w:ascii="Times New Roman" w:hAnsi="Times New Roman" w:eastAsia="Times New Roman" w:cs="Times New Roman"/>
                <w:b/>
                <w:sz w:val="20"/>
                <w:szCs w:val="20"/>
                <w:lang w:val="en-GB"/>
              </w:rPr>
              <w:t>Total</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76958D3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62581BF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69351B82">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w:t>
            </w:r>
          </w:p>
        </w:tc>
        <w:tc>
          <w:tcPr>
            <w:tcW w:w="1440" w:type="dxa"/>
            <w:shd w:val="clear" w:color="auto" w:fill="D8D8D8" w:themeFill="background1" w:themeFillShade="D9"/>
            <w:vAlign w:val="center"/>
          </w:tcPr>
          <w:p w14:paraId="356D2916">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w:t>
            </w:r>
          </w:p>
        </w:tc>
        <w:tc>
          <w:tcPr>
            <w:tcW w:w="1350" w:type="dxa"/>
            <w:shd w:val="clear" w:color="auto" w:fill="D9D9D9"/>
            <w:vAlign w:val="center"/>
          </w:tcPr>
          <w:p w14:paraId="37CE092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w:t>
            </w:r>
          </w:p>
        </w:tc>
        <w:tc>
          <w:tcPr>
            <w:tcW w:w="1440" w:type="dxa"/>
            <w:shd w:val="clear" w:color="auto" w:fill="D9D9D9"/>
            <w:vAlign w:val="center"/>
          </w:tcPr>
          <w:p w14:paraId="764321E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14A1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right w:val="single" w:color="auto" w:sz="4" w:space="0"/>
            </w:tcBorders>
            <w:shd w:val="clear" w:color="auto" w:fill="D9D9D9"/>
            <w:vAlign w:val="center"/>
          </w:tcPr>
          <w:p w14:paraId="06A9F561">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right w:val="single" w:color="auto" w:sz="4" w:space="0"/>
            </w:tcBorders>
            <w:shd w:val="clear" w:color="auto" w:fill="D9D9D9"/>
            <w:vAlign w:val="center"/>
          </w:tcPr>
          <w:p w14:paraId="41373758">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7E53122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Male</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53EBF3D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1DF6C6F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1F3ACFBD">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c>
          <w:tcPr>
            <w:tcW w:w="1440" w:type="dxa"/>
            <w:shd w:val="clear" w:color="auto" w:fill="D8D8D8" w:themeFill="background1" w:themeFillShade="D9"/>
            <w:vAlign w:val="center"/>
          </w:tcPr>
          <w:p w14:paraId="2E404460">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w:t>
            </w:r>
          </w:p>
        </w:tc>
        <w:tc>
          <w:tcPr>
            <w:tcW w:w="1350" w:type="dxa"/>
            <w:shd w:val="clear" w:color="auto" w:fill="D9D9D9"/>
            <w:vAlign w:val="center"/>
          </w:tcPr>
          <w:p w14:paraId="728BF1F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w:t>
            </w:r>
          </w:p>
        </w:tc>
        <w:tc>
          <w:tcPr>
            <w:tcW w:w="1440" w:type="dxa"/>
            <w:shd w:val="clear" w:color="auto" w:fill="D9D9D9"/>
            <w:vAlign w:val="center"/>
          </w:tcPr>
          <w:p w14:paraId="7DCF4BF3">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0BBA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vMerge w:val="continue"/>
            <w:tcBorders>
              <w:left w:val="single" w:color="auto" w:sz="4" w:space="0"/>
              <w:bottom w:val="single" w:color="auto" w:sz="4" w:space="0"/>
              <w:right w:val="single" w:color="auto" w:sz="4" w:space="0"/>
            </w:tcBorders>
            <w:shd w:val="clear" w:color="auto" w:fill="D9D9D9"/>
            <w:vAlign w:val="center"/>
          </w:tcPr>
          <w:p w14:paraId="19E11A92">
            <w:pPr>
              <w:spacing w:after="0" w:line="240" w:lineRule="auto"/>
              <w:rPr>
                <w:rFonts w:ascii="Times New Roman" w:hAnsi="Times New Roman" w:eastAsia="Times New Roman" w:cs="Times New Roman"/>
                <w:sz w:val="20"/>
                <w:szCs w:val="20"/>
                <w:lang w:val="en-GB"/>
              </w:rPr>
            </w:pPr>
          </w:p>
        </w:tc>
        <w:tc>
          <w:tcPr>
            <w:tcW w:w="3870" w:type="dxa"/>
            <w:vMerge w:val="continue"/>
            <w:tcBorders>
              <w:left w:val="single" w:color="auto" w:sz="4" w:space="0"/>
              <w:bottom w:val="single" w:color="auto" w:sz="4" w:space="0"/>
              <w:right w:val="single" w:color="auto" w:sz="4" w:space="0"/>
            </w:tcBorders>
            <w:shd w:val="clear" w:color="auto" w:fill="D9D9D9"/>
            <w:vAlign w:val="center"/>
          </w:tcPr>
          <w:p w14:paraId="6BC50C22">
            <w:pPr>
              <w:spacing w:after="0" w:line="240" w:lineRule="auto"/>
              <w:rPr>
                <w:rFonts w:ascii="Times New Roman" w:hAnsi="Times New Roman" w:eastAsia="Times New Roman" w:cs="Times New Roman"/>
                <w:sz w:val="20"/>
                <w:szCs w:val="20"/>
                <w:lang w:val="en-GB"/>
              </w:rPr>
            </w:pP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16F5DE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female</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2873246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6447DB4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33B34A8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w:t>
            </w:r>
          </w:p>
        </w:tc>
        <w:tc>
          <w:tcPr>
            <w:tcW w:w="1440" w:type="dxa"/>
            <w:shd w:val="clear" w:color="auto" w:fill="D8D8D8" w:themeFill="background1" w:themeFillShade="D9"/>
            <w:vAlign w:val="center"/>
          </w:tcPr>
          <w:p w14:paraId="003F139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w:t>
            </w:r>
          </w:p>
        </w:tc>
        <w:tc>
          <w:tcPr>
            <w:tcW w:w="1350" w:type="dxa"/>
            <w:shd w:val="clear" w:color="auto" w:fill="D9D9D9"/>
            <w:vAlign w:val="center"/>
          </w:tcPr>
          <w:p w14:paraId="0EDEFC3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w:t>
            </w:r>
          </w:p>
        </w:tc>
        <w:tc>
          <w:tcPr>
            <w:tcW w:w="1440" w:type="dxa"/>
            <w:shd w:val="clear" w:color="auto" w:fill="D9D9D9"/>
            <w:vAlign w:val="center"/>
          </w:tcPr>
          <w:p w14:paraId="1B7FAA72">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r>
      <w:tr w14:paraId="7F0F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131A30C1">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10</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6ECD1DE6">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Proportion of referrals receiving adequate follow-up</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4E00ECD3">
            <w:pPr>
              <w:spacing w:after="0" w:line="240" w:lineRule="auto"/>
              <w:jc w:val="center"/>
              <w:rPr>
                <w:rFonts w:ascii="Times New Roman" w:hAnsi="Times New Roman" w:eastAsia="Times New Roman" w:cs="Times New Roman"/>
                <w:sz w:val="20"/>
                <w:szCs w:val="20"/>
                <w:lang w:val="en-GB"/>
              </w:rPr>
            </w:pP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148A46A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100%</w:t>
            </w:r>
          </w:p>
        </w:tc>
        <w:tc>
          <w:tcPr>
            <w:tcW w:w="1530" w:type="dxa"/>
            <w:tcBorders>
              <w:top w:val="single" w:color="auto" w:sz="4" w:space="0"/>
              <w:left w:val="single" w:color="auto" w:sz="4" w:space="0"/>
              <w:bottom w:val="single" w:color="auto" w:sz="4" w:space="0"/>
              <w:right w:val="single" w:color="auto" w:sz="4" w:space="0"/>
            </w:tcBorders>
            <w:shd w:val="clear" w:color="auto" w:fill="D0CECE"/>
          </w:tcPr>
          <w:p w14:paraId="17C4382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100%</w:t>
            </w:r>
          </w:p>
        </w:tc>
        <w:tc>
          <w:tcPr>
            <w:tcW w:w="1440" w:type="dxa"/>
            <w:tcBorders>
              <w:top w:val="single" w:color="auto" w:sz="4" w:space="0"/>
              <w:left w:val="single" w:color="auto" w:sz="4" w:space="0"/>
              <w:bottom w:val="single" w:color="auto" w:sz="4" w:space="0"/>
              <w:right w:val="single" w:color="auto" w:sz="4" w:space="0"/>
            </w:tcBorders>
            <w:shd w:val="clear" w:color="auto" w:fill="D0CECE"/>
          </w:tcPr>
          <w:p w14:paraId="5DAAE35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0%</w:t>
            </w:r>
          </w:p>
        </w:tc>
        <w:tc>
          <w:tcPr>
            <w:tcW w:w="1440" w:type="dxa"/>
            <w:shd w:val="clear" w:color="auto" w:fill="D8D8D8" w:themeFill="background1" w:themeFillShade="D9"/>
            <w:vAlign w:val="center"/>
          </w:tcPr>
          <w:p w14:paraId="7FE08321">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N/A</w:t>
            </w:r>
          </w:p>
        </w:tc>
        <w:tc>
          <w:tcPr>
            <w:tcW w:w="1350" w:type="dxa"/>
            <w:shd w:val="clear" w:color="auto" w:fill="D9D9D9"/>
            <w:vAlign w:val="center"/>
          </w:tcPr>
          <w:p w14:paraId="631372D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100%</w:t>
            </w:r>
          </w:p>
        </w:tc>
        <w:tc>
          <w:tcPr>
            <w:tcW w:w="1440" w:type="dxa"/>
            <w:shd w:val="clear" w:color="auto" w:fill="D9D9D9"/>
            <w:vAlign w:val="center"/>
          </w:tcPr>
          <w:p w14:paraId="7C2A551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100%</w:t>
            </w:r>
          </w:p>
        </w:tc>
      </w:tr>
      <w:tr w14:paraId="05C3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7F913F05">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11</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022BA306">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DSWCD’s that have shared their MMDA’s LEAP Household data with both NHIS and GHS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F19C890">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B301CA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FC8D39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566A314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shd w:val="clear" w:color="auto" w:fill="D8D8D8" w:themeFill="background1" w:themeFillShade="D9"/>
          </w:tcPr>
          <w:p w14:paraId="42F1608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411054C3">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shd w:val="clear" w:color="auto" w:fill="D9D9D9"/>
          </w:tcPr>
          <w:p w14:paraId="2A90882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r>
      <w:tr w14:paraId="0F99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410F12B4">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12</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7A4D55A9">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regional intersectoral monitoring visits conducted</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3DC1F2C">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2EA4885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90E612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37B19A7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shd w:val="clear" w:color="auto" w:fill="D8D8D8" w:themeFill="background1" w:themeFillShade="D9"/>
          </w:tcPr>
          <w:p w14:paraId="3380835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643BFAA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shd w:val="clear" w:color="auto" w:fill="D9D9D9"/>
          </w:tcPr>
          <w:p w14:paraId="6C0B7BC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r>
      <w:tr w14:paraId="5AD6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1201BAC3">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13</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6766941E">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meetings organised to discuss integrated services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654D3576">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E08E5A7">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165F263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5B48D63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shd w:val="clear" w:color="auto" w:fill="D8D8D8" w:themeFill="background1" w:themeFillShade="D9"/>
          </w:tcPr>
          <w:p w14:paraId="144E6FC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20229B1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440" w:type="dxa"/>
            <w:shd w:val="clear" w:color="auto" w:fill="D9D9D9"/>
          </w:tcPr>
          <w:p w14:paraId="6AA519A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r>
      <w:tr w14:paraId="6F17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7C3E8891">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14</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060A29DA">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girls reached by prevention and care services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4EF43762">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09FD845F">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DCBD4D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6FB18CB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096FC99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20960EA9">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tcPr>
          <w:p w14:paraId="37BD2A9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FA7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71578CF4">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15</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46C75910">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CP/SGBV cases referred to other services and followed up</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68B08E5B">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852273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2B6D02D">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1A5D49D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w:t>
            </w:r>
          </w:p>
        </w:tc>
        <w:tc>
          <w:tcPr>
            <w:tcW w:w="1440" w:type="dxa"/>
            <w:shd w:val="clear" w:color="auto" w:fill="D8D8D8" w:themeFill="background1" w:themeFillShade="D9"/>
          </w:tcPr>
          <w:p w14:paraId="07E6310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24F44379">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40" w:type="dxa"/>
            <w:shd w:val="clear" w:color="auto" w:fill="D9D9D9"/>
          </w:tcPr>
          <w:p w14:paraId="49CD2F9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4D0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2B18C270">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16</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6FE7FA48">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NGOs, including RHCs, trained</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317993D1">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202895EA">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00BF57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75D3DC2B">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5BB261F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6564525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tcPr>
          <w:p w14:paraId="54B87E4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2E4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1FB9B2AA">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17</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3207D3F0">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children in RHCs profiled and reunified</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715A7028">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358DA3CC">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15D186E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2232065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7429318E">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6B5F168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tcPr>
          <w:p w14:paraId="39EF783B">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469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7A2F5BDC">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18</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05E3F166">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Proportion of sub-standard RHCs closed</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14B08DE1">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43FB094">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2A65EE5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23745705">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413B1A22">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1366507D">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tcPr>
          <w:p w14:paraId="572A7F7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AE4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3270133B">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19</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109E8FA9">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Number of children placed in foster care</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2DF9F5FA">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95E3868">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EA6DDA6">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42920A69">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0</w:t>
            </w:r>
          </w:p>
        </w:tc>
        <w:tc>
          <w:tcPr>
            <w:tcW w:w="1440" w:type="dxa"/>
            <w:shd w:val="clear" w:color="auto" w:fill="D8D8D8" w:themeFill="background1" w:themeFillShade="D9"/>
          </w:tcPr>
          <w:p w14:paraId="77A64791">
            <w:pPr>
              <w:spacing w:after="0" w:line="240" w:lineRule="auto"/>
              <w:jc w:val="center"/>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N/A</w:t>
            </w:r>
          </w:p>
        </w:tc>
        <w:tc>
          <w:tcPr>
            <w:tcW w:w="1350" w:type="dxa"/>
            <w:shd w:val="clear" w:color="auto" w:fill="D9D9D9"/>
          </w:tcPr>
          <w:p w14:paraId="4114755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tcPr>
          <w:p w14:paraId="48E5972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BC1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0C4A37F8">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20</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1651D640">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Proportion of population with access to basic drinking water sources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5C950EB8">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D628EE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88%</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2910D02B">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88%</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050EC77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88%</w:t>
            </w:r>
          </w:p>
        </w:tc>
        <w:tc>
          <w:tcPr>
            <w:tcW w:w="1440" w:type="dxa"/>
            <w:shd w:val="clear" w:color="auto" w:fill="D8D8D8" w:themeFill="background1" w:themeFillShade="D9"/>
            <w:vAlign w:val="center"/>
          </w:tcPr>
          <w:p w14:paraId="2306921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89.96%</w:t>
            </w:r>
          </w:p>
        </w:tc>
        <w:tc>
          <w:tcPr>
            <w:tcW w:w="1350" w:type="dxa"/>
            <w:shd w:val="clear" w:color="auto" w:fill="D9D9D9"/>
          </w:tcPr>
          <w:p w14:paraId="4E1E89B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100%</w:t>
            </w:r>
          </w:p>
        </w:tc>
        <w:tc>
          <w:tcPr>
            <w:tcW w:w="1440" w:type="dxa"/>
          </w:tcPr>
          <w:p w14:paraId="04960EC5">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89.96%</w:t>
            </w:r>
          </w:p>
        </w:tc>
      </w:tr>
      <w:tr w14:paraId="2620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12D4013B">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21</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6A3FED87">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Proportion of population with access to improved sanitation services</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31883D9E">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2B0AD9D">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95.2%</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F014A5B">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29.58%</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4F8E7B98">
            <w:pPr>
              <w:spacing w:after="0" w:line="240" w:lineRule="auto"/>
              <w:jc w:val="center"/>
              <w:rPr>
                <w:rFonts w:ascii="Times New Roman" w:hAnsi="Times New Roman" w:cs="Times New Roman"/>
                <w:sz w:val="20"/>
                <w:szCs w:val="20"/>
                <w:lang w:eastAsia="zh-CN" w:bidi="ar"/>
              </w:rPr>
            </w:pPr>
            <w:r>
              <w:rPr>
                <w:rFonts w:ascii="Times New Roman" w:hAnsi="Times New Roman" w:eastAsia="Times New Roman" w:cs="Times New Roman"/>
                <w:sz w:val="20"/>
                <w:szCs w:val="20"/>
              </w:rPr>
              <w:t>95.2%</w:t>
            </w:r>
          </w:p>
        </w:tc>
        <w:tc>
          <w:tcPr>
            <w:tcW w:w="1440" w:type="dxa"/>
            <w:shd w:val="clear" w:color="auto" w:fill="D8D8D8" w:themeFill="background1" w:themeFillShade="D9"/>
            <w:vAlign w:val="center"/>
          </w:tcPr>
          <w:p w14:paraId="28285DB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3.45%</w:t>
            </w:r>
          </w:p>
        </w:tc>
        <w:tc>
          <w:tcPr>
            <w:tcW w:w="1350" w:type="dxa"/>
            <w:shd w:val="clear" w:color="auto" w:fill="D9D9D9"/>
          </w:tcPr>
          <w:p w14:paraId="2F9F4996">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100%</w:t>
            </w:r>
          </w:p>
        </w:tc>
        <w:tc>
          <w:tcPr>
            <w:tcW w:w="1440" w:type="dxa"/>
            <w:shd w:val="clear" w:color="auto" w:fill="D9D9D9"/>
          </w:tcPr>
          <w:p w14:paraId="0CD6C3C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r>
      <w:tr w14:paraId="60EA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492CD11A">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22</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575EA7DD">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rPr>
              <w:t>Doctor to patient ratio</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655AA5D2">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61984FA4">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1:12,057</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2B342510">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1:12,311</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0A7EB28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1:10,703</w:t>
            </w:r>
          </w:p>
        </w:tc>
        <w:tc>
          <w:tcPr>
            <w:tcW w:w="1440" w:type="dxa"/>
            <w:shd w:val="clear" w:color="auto" w:fill="D8D8D8" w:themeFill="background1" w:themeFillShade="D9"/>
            <w:vAlign w:val="center"/>
          </w:tcPr>
          <w:p w14:paraId="3993A51B">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bCs/>
                <w:sz w:val="20"/>
                <w:szCs w:val="20"/>
              </w:rPr>
              <w:t>1:14,475</w:t>
            </w:r>
          </w:p>
        </w:tc>
        <w:tc>
          <w:tcPr>
            <w:tcW w:w="1350" w:type="dxa"/>
            <w:shd w:val="clear" w:color="auto" w:fill="D9D9D9"/>
          </w:tcPr>
          <w:p w14:paraId="7031E242">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1:15,000</w:t>
            </w:r>
          </w:p>
        </w:tc>
        <w:tc>
          <w:tcPr>
            <w:tcW w:w="1440" w:type="dxa"/>
            <w:shd w:val="clear" w:color="auto" w:fill="D9D9D9"/>
            <w:vAlign w:val="center"/>
          </w:tcPr>
          <w:p w14:paraId="44C1FBEE">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1:6,204</w:t>
            </w:r>
          </w:p>
        </w:tc>
      </w:tr>
      <w:tr w14:paraId="0E22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28E18C25">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23</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6FCA264E">
            <w:pPr>
              <w:spacing w:after="0" w:line="240" w:lineRule="auto"/>
              <w:rPr>
                <w:rFonts w:ascii="Times New Roman" w:hAnsi="Times New Roman" w:eastAsia="Aptos" w:cs="Times New Roman"/>
                <w:sz w:val="20"/>
                <w:szCs w:val="20"/>
              </w:rPr>
            </w:pPr>
            <w:r>
              <w:rPr>
                <w:rFonts w:ascii="Times New Roman" w:hAnsi="Times New Roman" w:eastAsia="Times New Roman" w:cs="Times New Roman"/>
                <w:sz w:val="20"/>
                <w:szCs w:val="20"/>
              </w:rPr>
              <w:t>Nurse to population ratio</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392C6763">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7870DE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1:275</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132DB8C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1:335</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5C15899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18"/>
                <w:szCs w:val="18"/>
              </w:rPr>
              <w:t>1:337</w:t>
            </w:r>
          </w:p>
        </w:tc>
        <w:tc>
          <w:tcPr>
            <w:tcW w:w="1440" w:type="dxa"/>
            <w:shd w:val="clear" w:color="auto" w:fill="D8D8D8" w:themeFill="background1" w:themeFillShade="D9"/>
            <w:vAlign w:val="center"/>
          </w:tcPr>
          <w:p w14:paraId="414B8E7D">
            <w:pPr>
              <w:spacing w:after="0" w:line="240" w:lineRule="auto"/>
              <w:jc w:val="center"/>
              <w:rPr>
                <w:rFonts w:ascii="Times New Roman" w:hAnsi="Times New Roman" w:eastAsia="Times New Roman" w:cs="Times New Roman"/>
                <w:sz w:val="20"/>
                <w:szCs w:val="20"/>
              </w:rPr>
            </w:pPr>
            <w:r>
              <w:rPr>
                <w:rFonts w:ascii="Times New Roman" w:hAnsi="Times New Roman" w:eastAsia="Calibri" w:cs="Times New Roman"/>
                <w:bCs/>
                <w:sz w:val="20"/>
                <w:szCs w:val="20"/>
              </w:rPr>
              <w:t>1:302</w:t>
            </w:r>
          </w:p>
        </w:tc>
        <w:tc>
          <w:tcPr>
            <w:tcW w:w="1350" w:type="dxa"/>
            <w:shd w:val="clear" w:color="auto" w:fill="D9D9D9"/>
          </w:tcPr>
          <w:p w14:paraId="0AA63332">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1:450</w:t>
            </w:r>
          </w:p>
        </w:tc>
        <w:tc>
          <w:tcPr>
            <w:tcW w:w="1440" w:type="dxa"/>
            <w:shd w:val="clear" w:color="auto" w:fill="D9D9D9"/>
            <w:vAlign w:val="center"/>
          </w:tcPr>
          <w:p w14:paraId="2506BA37">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1:311</w:t>
            </w:r>
          </w:p>
        </w:tc>
      </w:tr>
      <w:tr w14:paraId="388F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608F4957">
            <w:pPr>
              <w:spacing w:after="0" w:line="240" w:lineRule="auto"/>
              <w:rPr>
                <w:rFonts w:ascii="Times New Roman" w:hAnsi="Times New Roman" w:eastAsia="Times New Roman" w:cs="Times New Roman"/>
                <w:sz w:val="20"/>
                <w:szCs w:val="20"/>
                <w:lang w:val="en-GB"/>
              </w:rPr>
            </w:pPr>
            <w:r>
              <w:rPr>
                <w:rFonts w:ascii="Times New Roman" w:hAnsi="Times New Roman" w:eastAsia="Times New Roman" w:cs="Times New Roman"/>
                <w:sz w:val="20"/>
                <w:szCs w:val="20"/>
                <w:lang w:val="en-GB"/>
              </w:rPr>
              <w:t>24</w:t>
            </w: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73FD8B0F">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Number of reported cases of new HIV infection</w:t>
            </w:r>
          </w:p>
          <w:p w14:paraId="60CCB356">
            <w:pPr>
              <w:spacing w:after="0" w:line="240" w:lineRule="auto"/>
              <w:ind w:left="720" w:hanging="720"/>
              <w:rPr>
                <w:rFonts w:ascii="Times New Roman" w:hAnsi="Times New Roman" w:eastAsia="Times New Roman" w:cs="Times New Roman"/>
                <w:sz w:val="20"/>
                <w:szCs w:val="20"/>
              </w:rPr>
            </w:pPr>
            <w:r>
              <w:rPr>
                <w:rFonts w:ascii="Times New Roman" w:hAnsi="Times New Roman" w:eastAsia="Times New Roman" w:cs="Times New Roman"/>
                <w:sz w:val="18"/>
                <w:szCs w:val="18"/>
              </w:rPr>
              <w:t>Total</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2808D1DF">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5681380">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134</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34C11E3F">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54</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6FB21D64">
            <w:pPr>
              <w:spacing w:after="0" w:line="240" w:lineRule="auto"/>
              <w:jc w:val="center"/>
              <w:rPr>
                <w:rFonts w:ascii="Times New Roman" w:hAnsi="Times New Roman" w:eastAsia="Times New Roman" w:cs="Times New Roman"/>
                <w:sz w:val="18"/>
                <w:szCs w:val="18"/>
              </w:rPr>
            </w:pPr>
            <w:r>
              <w:rPr>
                <w:rFonts w:ascii="Times New Roman" w:hAnsi="Times New Roman" w:eastAsia="Calibri" w:cs="Times New Roman"/>
                <w:sz w:val="18"/>
                <w:szCs w:val="18"/>
              </w:rPr>
              <w:t>40</w:t>
            </w:r>
          </w:p>
        </w:tc>
        <w:tc>
          <w:tcPr>
            <w:tcW w:w="1440" w:type="dxa"/>
            <w:shd w:val="clear" w:color="auto" w:fill="D8D8D8" w:themeFill="background1" w:themeFillShade="D9"/>
            <w:vAlign w:val="center"/>
          </w:tcPr>
          <w:p w14:paraId="1F1E829C">
            <w:pPr>
              <w:spacing w:after="0" w:line="240" w:lineRule="auto"/>
              <w:jc w:val="center"/>
              <w:rPr>
                <w:rFonts w:ascii="Times New Roman" w:hAnsi="Times New Roman" w:eastAsia="Calibri" w:cs="Times New Roman"/>
                <w:bCs/>
                <w:sz w:val="20"/>
                <w:szCs w:val="20"/>
              </w:rPr>
            </w:pPr>
            <w:r>
              <w:rPr>
                <w:rFonts w:ascii="Times New Roman" w:hAnsi="Times New Roman" w:cs="Times New Roman"/>
                <w:sz w:val="20"/>
                <w:szCs w:val="20"/>
              </w:rPr>
              <w:t>274</w:t>
            </w:r>
          </w:p>
        </w:tc>
        <w:tc>
          <w:tcPr>
            <w:tcW w:w="1350" w:type="dxa"/>
            <w:shd w:val="clear" w:color="auto" w:fill="D9D9D9"/>
          </w:tcPr>
          <w:p w14:paraId="7085691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vAlign w:val="center"/>
          </w:tcPr>
          <w:p w14:paraId="491EAAEB">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29</w:t>
            </w:r>
          </w:p>
        </w:tc>
      </w:tr>
      <w:tr w14:paraId="1306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027DFB15">
            <w:pPr>
              <w:spacing w:after="0" w:line="240" w:lineRule="auto"/>
              <w:rPr>
                <w:rFonts w:ascii="Times New Roman" w:hAnsi="Times New Roman" w:eastAsia="Times New Roman" w:cs="Times New Roman"/>
                <w:sz w:val="20"/>
                <w:szCs w:val="20"/>
                <w:lang w:val="en-GB"/>
              </w:rPr>
            </w:pP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36161658">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sz w:val="18"/>
                <w:szCs w:val="18"/>
              </w:rPr>
              <w:t>Male</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863ECEA">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7C84874C">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106</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03477AF4">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37</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68449E5B">
            <w:pPr>
              <w:spacing w:after="0" w:line="240" w:lineRule="auto"/>
              <w:jc w:val="center"/>
              <w:rPr>
                <w:rFonts w:ascii="Times New Roman" w:hAnsi="Times New Roman" w:eastAsia="Calibri" w:cs="Times New Roman"/>
                <w:sz w:val="18"/>
                <w:szCs w:val="18"/>
              </w:rPr>
            </w:pPr>
            <w:r>
              <w:rPr>
                <w:rFonts w:ascii="Times New Roman" w:hAnsi="Times New Roman" w:eastAsia="Calibri" w:cs="Times New Roman"/>
                <w:sz w:val="18"/>
                <w:szCs w:val="18"/>
              </w:rPr>
              <w:t>27</w:t>
            </w:r>
          </w:p>
        </w:tc>
        <w:tc>
          <w:tcPr>
            <w:tcW w:w="1440" w:type="dxa"/>
            <w:shd w:val="clear" w:color="auto" w:fill="D8D8D8" w:themeFill="background1" w:themeFillShade="D9"/>
            <w:vAlign w:val="center"/>
          </w:tcPr>
          <w:p w14:paraId="2B7C00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350" w:type="dxa"/>
            <w:shd w:val="clear" w:color="auto" w:fill="D9D9D9"/>
          </w:tcPr>
          <w:p w14:paraId="4F26276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vAlign w:val="center"/>
          </w:tcPr>
          <w:p w14:paraId="05C288CB">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10</w:t>
            </w:r>
          </w:p>
        </w:tc>
      </w:tr>
      <w:tr w14:paraId="2BFD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D9D9D9"/>
            <w:vAlign w:val="center"/>
          </w:tcPr>
          <w:p w14:paraId="79F1E4BC">
            <w:pPr>
              <w:spacing w:after="0" w:line="240" w:lineRule="auto"/>
              <w:rPr>
                <w:rFonts w:ascii="Times New Roman" w:hAnsi="Times New Roman" w:eastAsia="Times New Roman" w:cs="Times New Roman"/>
                <w:sz w:val="20"/>
                <w:szCs w:val="20"/>
                <w:lang w:val="en-GB"/>
              </w:rPr>
            </w:pPr>
          </w:p>
        </w:tc>
        <w:tc>
          <w:tcPr>
            <w:tcW w:w="3870" w:type="dxa"/>
            <w:tcBorders>
              <w:top w:val="single" w:color="auto" w:sz="4" w:space="0"/>
              <w:left w:val="single" w:color="auto" w:sz="4" w:space="0"/>
              <w:bottom w:val="single" w:color="auto" w:sz="4" w:space="0"/>
              <w:right w:val="single" w:color="auto" w:sz="4" w:space="0"/>
            </w:tcBorders>
            <w:shd w:val="clear" w:color="auto" w:fill="D9D9D9"/>
            <w:vAlign w:val="center"/>
          </w:tcPr>
          <w:p w14:paraId="4FE0E872">
            <w:pPr>
              <w:spacing w:after="0" w:line="240" w:lineRule="auto"/>
              <w:rPr>
                <w:rFonts w:ascii="Times New Roman" w:hAnsi="Times New Roman" w:eastAsia="Times New Roman" w:cs="Times New Roman"/>
                <w:b/>
                <w:sz w:val="18"/>
                <w:szCs w:val="18"/>
              </w:rPr>
            </w:pPr>
            <w:r>
              <w:rPr>
                <w:rFonts w:ascii="Times New Roman" w:hAnsi="Times New Roman" w:eastAsia="Times New Roman" w:cs="Times New Roman"/>
                <w:sz w:val="18"/>
                <w:szCs w:val="18"/>
              </w:rPr>
              <w:t>Female</w:t>
            </w:r>
          </w:p>
        </w:tc>
        <w:tc>
          <w:tcPr>
            <w:tcW w:w="1710" w:type="dxa"/>
            <w:tcBorders>
              <w:top w:val="single" w:color="auto" w:sz="4" w:space="0"/>
              <w:left w:val="single" w:color="auto" w:sz="4" w:space="0"/>
              <w:bottom w:val="single" w:color="auto" w:sz="4" w:space="0"/>
              <w:right w:val="single" w:color="auto" w:sz="4" w:space="0"/>
            </w:tcBorders>
            <w:shd w:val="clear" w:color="auto" w:fill="D0CECE"/>
          </w:tcPr>
          <w:p w14:paraId="024249D7">
            <w:pPr>
              <w:jc w:val="center"/>
              <w:rPr>
                <w:rFonts w:ascii="Times New Roman" w:hAnsi="Times New Roman" w:cs="Times New Roman"/>
              </w:rPr>
            </w:pPr>
            <w:r>
              <w:rPr>
                <w:rFonts w:ascii="Times New Roman" w:hAnsi="Times New Roman" w:eastAsia="Times New Roman" w:cs="Times New Roman"/>
                <w:sz w:val="20"/>
                <w:szCs w:val="20"/>
                <w:lang w:val="en-GB"/>
              </w:rPr>
              <w:t>N/A</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44176A36">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28</w:t>
            </w:r>
          </w:p>
        </w:tc>
        <w:tc>
          <w:tcPr>
            <w:tcW w:w="1530" w:type="dxa"/>
            <w:tcBorders>
              <w:top w:val="single" w:color="auto" w:sz="4" w:space="0"/>
              <w:left w:val="single" w:color="auto" w:sz="4" w:space="0"/>
              <w:bottom w:val="single" w:color="auto" w:sz="4" w:space="0"/>
              <w:right w:val="single" w:color="auto" w:sz="4" w:space="0"/>
            </w:tcBorders>
            <w:shd w:val="clear" w:color="auto" w:fill="D0CECE"/>
            <w:vAlign w:val="center"/>
          </w:tcPr>
          <w:p w14:paraId="515280CC">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17</w:t>
            </w:r>
          </w:p>
        </w:tc>
        <w:tc>
          <w:tcPr>
            <w:tcW w:w="1440" w:type="dxa"/>
            <w:tcBorders>
              <w:top w:val="single" w:color="auto" w:sz="4" w:space="0"/>
              <w:left w:val="single" w:color="auto" w:sz="4" w:space="0"/>
              <w:bottom w:val="single" w:color="auto" w:sz="4" w:space="0"/>
              <w:right w:val="single" w:color="auto" w:sz="4" w:space="0"/>
            </w:tcBorders>
            <w:shd w:val="clear" w:color="auto" w:fill="D0CECE"/>
            <w:vAlign w:val="center"/>
          </w:tcPr>
          <w:p w14:paraId="6523E128">
            <w:pPr>
              <w:spacing w:after="0" w:line="240" w:lineRule="auto"/>
              <w:jc w:val="center"/>
              <w:rPr>
                <w:rFonts w:ascii="Times New Roman" w:hAnsi="Times New Roman" w:eastAsia="Calibri" w:cs="Times New Roman"/>
                <w:sz w:val="18"/>
                <w:szCs w:val="18"/>
              </w:rPr>
            </w:pPr>
            <w:r>
              <w:rPr>
                <w:rFonts w:ascii="Times New Roman" w:hAnsi="Times New Roman" w:eastAsia="Calibri" w:cs="Times New Roman"/>
                <w:sz w:val="18"/>
                <w:szCs w:val="18"/>
              </w:rPr>
              <w:t>13</w:t>
            </w:r>
          </w:p>
        </w:tc>
        <w:tc>
          <w:tcPr>
            <w:tcW w:w="1440" w:type="dxa"/>
            <w:shd w:val="clear" w:color="auto" w:fill="D8D8D8" w:themeFill="background1" w:themeFillShade="D9"/>
            <w:vAlign w:val="center"/>
          </w:tcPr>
          <w:p w14:paraId="2C81AD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174</w:t>
            </w:r>
          </w:p>
        </w:tc>
        <w:tc>
          <w:tcPr>
            <w:tcW w:w="1350" w:type="dxa"/>
            <w:shd w:val="clear" w:color="auto" w:fill="D9D9D9"/>
          </w:tcPr>
          <w:p w14:paraId="05ECA56A">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40" w:type="dxa"/>
            <w:shd w:val="clear" w:color="auto" w:fill="D9D9D9"/>
            <w:vAlign w:val="center"/>
          </w:tcPr>
          <w:p w14:paraId="6292922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19</w:t>
            </w:r>
          </w:p>
        </w:tc>
      </w:tr>
    </w:tbl>
    <w:p w14:paraId="6DCECDDE">
      <w:pPr>
        <w:tabs>
          <w:tab w:val="left" w:pos="1019"/>
        </w:tabs>
        <w:rPr>
          <w:rFonts w:ascii="Times New Roman" w:hAnsi="Times New Roman" w:cs="Times New Roman"/>
        </w:rPr>
      </w:pPr>
    </w:p>
    <w:p w14:paraId="31BCA99F">
      <w:pPr>
        <w:pStyle w:val="4"/>
        <w:spacing w:after="240" w:line="360" w:lineRule="auto"/>
        <w:jc w:val="both"/>
        <w:rPr>
          <w:rStyle w:val="15"/>
          <w:rFonts w:ascii="Times New Roman" w:hAnsi="Times New Roman" w:cs="Times New Roman"/>
          <w:i/>
          <w:color w:val="auto"/>
        </w:rPr>
        <w:sectPr>
          <w:pgSz w:w="15840" w:h="12240" w:orient="landscape"/>
          <w:pgMar w:top="720" w:right="720" w:bottom="720" w:left="720" w:header="720" w:footer="720" w:gutter="0"/>
          <w:cols w:space="720" w:num="1"/>
          <w:docGrid w:linePitch="360" w:charSpace="0"/>
        </w:sectPr>
      </w:pPr>
      <w:bookmarkStart w:id="106" w:name="_Toc222333873"/>
    </w:p>
    <w:p w14:paraId="2DC408DD">
      <w:pPr>
        <w:pStyle w:val="4"/>
        <w:spacing w:after="240" w:line="360" w:lineRule="auto"/>
        <w:jc w:val="both"/>
        <w:rPr>
          <w:rFonts w:ascii="Times New Roman" w:hAnsi="Times New Roman" w:cs="Times New Roman"/>
          <w:b/>
          <w:i/>
          <w:color w:val="auto"/>
        </w:rPr>
      </w:pPr>
      <w:bookmarkStart w:id="107" w:name="_Toc230260740"/>
      <w:r>
        <w:rPr>
          <w:rStyle w:val="15"/>
          <w:rFonts w:ascii="Times New Roman" w:hAnsi="Times New Roman" w:cs="Times New Roman"/>
          <w:i/>
          <w:color w:val="auto"/>
        </w:rPr>
        <w:t>2.7.1</w:t>
      </w:r>
      <w:bookmarkEnd w:id="106"/>
      <w:r>
        <w:rPr>
          <w:rFonts w:ascii="Times New Roman" w:hAnsi="Times New Roman" w:cs="Times New Roman"/>
          <w:b/>
          <w:bCs/>
          <w:i/>
          <w:color w:val="auto"/>
        </w:rPr>
        <w:t>Analysis on District Specific Indicators and Targets for First Quarter 2026</w:t>
      </w:r>
      <w:bookmarkEnd w:id="107"/>
    </w:p>
    <w:p w14:paraId="5494C06E">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The district specific indicators for the First Quarter of 2026 reflect mixed performance across the areas of social welfare, child protection, healthcare delivery, water and sanitation, and LEAP-related interventions within the Birim North District Assembly. The quarter marked the commencement of the implementation of the 2026–2029 Medium-Term Development Plan (MTDP), and efforts were made toward achieving the planned targets under the various development dimensions. While some indicators recorded encouraging performance, others remained stagnant due to operational, financial, and logistical constraints.</w:t>
      </w:r>
    </w:p>
    <w:p w14:paraId="69A71400">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In the area of child protection and social welfare services, no trainings were conducted on the Integrated Social Services Operating Procedures (ISSOPs) during the quarter, and consequently no case workers were trained in child protection and family welfare. Similarly, no child violence cases benefitted from social welfare or social services during the period under review. This lack of activity is to be attributed to inadequate funding, limited logistical support, and the absence of planned training programmes during the quarter.</w:t>
      </w:r>
    </w:p>
    <w:p w14:paraId="49B72E40">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Despite these challenges, some progress was recorded under child social services. A total of nine (9) children benefitted from social work and social services during the quarter, comprising seven (7) males and two (2) females. This performance indicates some level of engagement by the Department of Social Welfare and Community Development in responding to child welfare issues within the district. However, no individuals were reached with child protection and Sexual and Gender-Based Violence (SGBV) information during the quarter against a target of 30 persons. This may be due to the non-implementation of planned sensitization programmes and inadequate operational resources during the reporting period.</w:t>
      </w:r>
    </w:p>
    <w:p w14:paraId="13761675">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Performance under the Livelihood Empowerment Against Poverty (LEAP) programme was relatively encouraging during the quarter. The number of LEAP household members enrolled on the National Health Insurance Scheme (NHIS) reached 833 beneficiaries, made up of 366 males and 467 females, thereby achieving the annual target within the first quarter. This strong performance reflects sustained collaboration between the Department of Social Welfare, NHIS, and other stakeholders in ensuring that vulnerable households continue to access healthcare services. In addition, the number of households with adolescent girls benefiting from LEAP stood at 68 against a target of 70, representing near achievement of the annual target.</w:t>
      </w:r>
    </w:p>
    <w:p w14:paraId="34484BBD">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Community outreach activities to LEAP households also recorded moderate performance during the quarter. A total of nine (9) outreach visits were conducted, all involving female beneficiaries. Although this performance falls short of the annual target of 15 outreach visits, it demonstrates continued field engagement and monitoring activities by officers despite logistical and financial challenges.</w:t>
      </w:r>
    </w:p>
    <w:p w14:paraId="6469B58E">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With respect to referral systems, no referrals were received from the Ghana Health Service during the quarter. However, the proportion of referrals receiving adequate follow-up remained at 100 percent, indicating that existing referral cases were properly monitored and managed. This demonstrates the Assembly’s commitment to effective case management and coordination among service providers.</w:t>
      </w:r>
    </w:p>
    <w:p w14:paraId="46670425">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Indicators relating to institutional strengthening and child care services, including the number of NGOs and Residential Homes for Children (RHCs) trained, children placed in foster care, closure of sub-standard RHCs, and children reunified with families, recorded no progress during the quarter. The absence of activities under these indicators may be linked to inadequate funding, limited technical support, and competing operational priorities during the commencement of the new Medium-Term Development Plan.</w:t>
      </w:r>
    </w:p>
    <w:p w14:paraId="7916C712">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In the area of water and sanitation, the district recorded relatively high performance. Access to basic drinking water sources increased to 99 percent against the annual target of 100 percent, indicating continued improvement in water service delivery and access to potable water within the district. This achievement may be attributed to ongoing investments in water infrastructure and community water systems. Similarly, access to improved sanitation services stood at 84 percent during the quarter. Although this performance remains below the annual target of 100 percent, it reflects considerable progress compared to previous years and may be linked to intensified sanitation campaigns and household sanitation improvements.</w:t>
      </w:r>
    </w:p>
    <w:p w14:paraId="79DFF040">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Health indicators also recorded notable performance during the quarter. The doctor-to-patient ratio improved significantly from 1:14,475 in 2025 to 1:6,204 in the first quarter of 2026, surpassing the annual target of 1:15,000. This improvement may be attributed to increased posting of medical officers and improved staffing levels within health facilities in the district. The nurse-to-population ratio also remained relatively stable at 1:311, performing better than the annual target of 1:450. This indicates improved access to healthcare personnel and strengthened healthcare delivery services within the district.</w:t>
      </w:r>
    </w:p>
    <w:p w14:paraId="1F10CB0D">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However, the district recorded twenty-nine (29) new HIV infections during the quarter, comprising ten (10) males and nineteen (19) females. Although the annual target was zero new infections, the recorded cases suggest the need for intensified public education, awareness creation, testing, and preventive interventions, particularly among vulnerable populations and high-risk groups within the district.</w:t>
      </w:r>
    </w:p>
    <w:p w14:paraId="624A78AE">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Overall, the district specific indicators for the First Quarter of 2026 reveal encouraging performance in areas such as LEAP-NHIS enrolment, access to potable water, healthcare staffing ratios, and social outreach services. However, performance under child protection training, SGBV sensitization, institutional strengthening, and HIV prevention requires significant improvement. Going forward, the Assembly should strengthen inter-sectoral collaboration, improve logistical and financial support for field operations, intensify public sensitization programmes, and ensure timely implementation of planned activities under the 2026–2029 Medium-Term Development Plan to enhance service delivery and achieve the set targets.</w:t>
      </w:r>
    </w:p>
    <w:p w14:paraId="5E048593">
      <w:pPr>
        <w:pStyle w:val="3"/>
        <w:spacing w:after="240"/>
        <w:rPr>
          <w:rFonts w:ascii="Times New Roman" w:hAnsi="Times New Roman" w:eastAsia="Times New Roman" w:cs="Times New Roman"/>
          <w:b/>
          <w:color w:val="auto"/>
          <w:sz w:val="24"/>
          <w:szCs w:val="24"/>
        </w:rPr>
      </w:pPr>
      <w:bookmarkStart w:id="108" w:name="_Toc222333874"/>
      <w:bookmarkStart w:id="109" w:name="_Toc230260741"/>
      <w:r>
        <w:rPr>
          <w:rFonts w:ascii="Times New Roman" w:hAnsi="Times New Roman" w:eastAsia="Times New Roman" w:cs="Times New Roman"/>
          <w:b/>
          <w:color w:val="auto"/>
          <w:sz w:val="24"/>
          <w:szCs w:val="24"/>
        </w:rPr>
        <w:t>2.9 Participatory Monitoring and Evaluation Undertaken</w:t>
      </w:r>
      <w:bookmarkEnd w:id="108"/>
      <w:bookmarkEnd w:id="109"/>
    </w:p>
    <w:p w14:paraId="6E85347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Participatory monitoring and evaluation activities were carried out by the District Monitoring and Evaluation Team, coordinated by the District Planning Coordinating Unit (DPCU). These activities involved routine field visits, interactive discussions with key stakeholders, and review sessions with contractors, consultants, and beneficiary communities. The process provided an opportunity to collectively examine the status of ongoing projects, assess compliance with approved plans, and identify operational challenges affecting implementation.</w:t>
      </w:r>
    </w:p>
    <w:p w14:paraId="073B825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Issues identified during the monitoring exercises were discussed with stakeholders, and practical measures were agreed upon to address observed deficiencies. Relevant stakeholders have since taken steps to implement the agreed actions to improve project outcomes. This participatory approach has strengthened stakeholder involvement, enhanced openness in project implementation, and reinforced accountability, ultimately contributing to more effective and sustainable delivery of development interventions within the District.</w:t>
      </w:r>
    </w:p>
    <w:p w14:paraId="11032E47">
      <w:pPr>
        <w:pStyle w:val="8"/>
        <w:keepNext/>
        <w:rPr>
          <w:b/>
          <w:color w:val="auto"/>
          <w:sz w:val="24"/>
        </w:rPr>
      </w:pPr>
      <w:bookmarkStart w:id="110" w:name="_Toc229970436"/>
      <w:r>
        <w:rPr>
          <w:b/>
          <w:color w:val="auto"/>
          <w:sz w:val="24"/>
        </w:rPr>
        <w:t xml:space="preserve">Table </w:t>
      </w:r>
      <w:r>
        <w:rPr>
          <w:b/>
          <w:color w:val="auto"/>
          <w:sz w:val="24"/>
        </w:rPr>
        <w:fldChar w:fldCharType="begin"/>
      </w:r>
      <w:r>
        <w:rPr>
          <w:b/>
          <w:color w:val="auto"/>
          <w:sz w:val="24"/>
        </w:rPr>
        <w:instrText xml:space="preserve"> SEQ Table \* ARABIC </w:instrText>
      </w:r>
      <w:r>
        <w:rPr>
          <w:b/>
          <w:color w:val="auto"/>
          <w:sz w:val="24"/>
        </w:rPr>
        <w:fldChar w:fldCharType="separate"/>
      </w:r>
      <w:r>
        <w:rPr>
          <w:b/>
          <w:color w:val="auto"/>
          <w:sz w:val="24"/>
        </w:rPr>
        <w:t>10</w:t>
      </w:r>
      <w:r>
        <w:rPr>
          <w:b/>
          <w:color w:val="auto"/>
          <w:sz w:val="24"/>
        </w:rPr>
        <w:fldChar w:fldCharType="end"/>
      </w:r>
      <w:r>
        <w:rPr>
          <w:b/>
          <w:color w:val="auto"/>
          <w:sz w:val="24"/>
        </w:rPr>
        <w:t>: Evaluations Conducted, Findings and Recommendations</w:t>
      </w:r>
      <w:bookmarkEnd w:id="110"/>
    </w:p>
    <w:tbl>
      <w:tblPr>
        <w:tblStyle w:val="16"/>
        <w:tblW w:w="1164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058"/>
        <w:gridCol w:w="1208"/>
        <w:gridCol w:w="2097"/>
        <w:gridCol w:w="1588"/>
        <w:gridCol w:w="2852"/>
      </w:tblGrid>
      <w:tr w14:paraId="13E8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838" w:type="dxa"/>
            <w:shd w:val="clear" w:color="auto" w:fill="D6DCE4" w:themeFill="text2" w:themeFillTint="33"/>
          </w:tcPr>
          <w:p w14:paraId="42130CE5">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NAME OF EVALUATION</w:t>
            </w:r>
          </w:p>
        </w:tc>
        <w:tc>
          <w:tcPr>
            <w:tcW w:w="2058" w:type="dxa"/>
            <w:shd w:val="clear" w:color="auto" w:fill="D6DCE4" w:themeFill="text2" w:themeFillTint="33"/>
          </w:tcPr>
          <w:p w14:paraId="6FE28262">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PROJECTS/PROGRAMMES INVOLVED</w:t>
            </w:r>
          </w:p>
        </w:tc>
        <w:tc>
          <w:tcPr>
            <w:tcW w:w="1208" w:type="dxa"/>
            <w:shd w:val="clear" w:color="auto" w:fill="D6DCE4" w:themeFill="text2" w:themeFillTint="33"/>
          </w:tcPr>
          <w:p w14:paraId="5FB0D798">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CONSULTANT /RESOURCE PERSON</w:t>
            </w:r>
          </w:p>
        </w:tc>
        <w:tc>
          <w:tcPr>
            <w:tcW w:w="2097" w:type="dxa"/>
            <w:shd w:val="clear" w:color="auto" w:fill="D6DCE4" w:themeFill="text2" w:themeFillTint="33"/>
          </w:tcPr>
          <w:p w14:paraId="1E4BD4F0">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METHODOLOGY</w:t>
            </w:r>
          </w:p>
        </w:tc>
        <w:tc>
          <w:tcPr>
            <w:tcW w:w="1588" w:type="dxa"/>
            <w:shd w:val="clear" w:color="auto" w:fill="D6DCE4" w:themeFill="text2" w:themeFillTint="33"/>
          </w:tcPr>
          <w:p w14:paraId="5E34B22F">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FINDINGS</w:t>
            </w:r>
          </w:p>
        </w:tc>
        <w:tc>
          <w:tcPr>
            <w:tcW w:w="2852" w:type="dxa"/>
            <w:shd w:val="clear" w:color="auto" w:fill="D6DCE4" w:themeFill="text2" w:themeFillTint="33"/>
          </w:tcPr>
          <w:p w14:paraId="26A49B5A">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RECOMMENDATIONS</w:t>
            </w:r>
          </w:p>
        </w:tc>
      </w:tr>
      <w:tr w14:paraId="7952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838" w:type="dxa"/>
          </w:tcPr>
          <w:p w14:paraId="5ECA2E73">
            <w:pPr>
              <w:spacing w:before="240" w:after="200" w:line="276"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MIDTERM</w:t>
            </w:r>
          </w:p>
        </w:tc>
        <w:tc>
          <w:tcPr>
            <w:tcW w:w="2058" w:type="dxa"/>
          </w:tcPr>
          <w:p w14:paraId="0D64D7D5">
            <w:pPr>
              <w:pStyle w:val="26"/>
              <w:spacing w:line="276" w:lineRule="auto"/>
              <w:rPr>
                <w:rFonts w:eastAsia="Calibri"/>
                <w:sz w:val="20"/>
                <w:szCs w:val="20"/>
              </w:rPr>
            </w:pPr>
            <w:r>
              <w:rPr>
                <w:sz w:val="20"/>
                <w:szCs w:val="20"/>
              </w:rPr>
              <w:t>Construction of 1No. CHPs Compound, Mpintimpi</w:t>
            </w:r>
          </w:p>
        </w:tc>
        <w:tc>
          <w:tcPr>
            <w:tcW w:w="1208" w:type="dxa"/>
          </w:tcPr>
          <w:p w14:paraId="70B8C8FD">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DPCU</w:t>
            </w:r>
          </w:p>
        </w:tc>
        <w:tc>
          <w:tcPr>
            <w:tcW w:w="2097" w:type="dxa"/>
          </w:tcPr>
          <w:p w14:paraId="7C037E1A">
            <w:pPr>
              <w:spacing w:after="0" w:line="276" w:lineRule="auto"/>
              <w:jc w:val="both"/>
              <w:rPr>
                <w:rFonts w:ascii="Times New Roman" w:hAnsi="Times New Roman" w:cs="Times New Roman"/>
                <w:sz w:val="20"/>
                <w:szCs w:val="20"/>
              </w:rPr>
            </w:pPr>
            <w:r>
              <w:rPr>
                <w:rFonts w:ascii="Times New Roman" w:hAnsi="Times New Roman" w:cs="Times New Roman"/>
                <w:sz w:val="20"/>
                <w:szCs w:val="20"/>
              </w:rPr>
              <w:t>Field Indicators Checklist (agreed by DPCU)</w:t>
            </w:r>
          </w:p>
        </w:tc>
        <w:tc>
          <w:tcPr>
            <w:tcW w:w="1588" w:type="dxa"/>
          </w:tcPr>
          <w:p w14:paraId="2D09B6B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 Project is nearing completion. </w:t>
            </w:r>
            <w:r>
              <w:rPr>
                <w:rFonts w:ascii="Times New Roman" w:hAnsi="Times New Roman" w:cs="Times New Roman"/>
                <w:sz w:val="20"/>
                <w:szCs w:val="20"/>
              </w:rPr>
              <w:br w:type="textWrapping"/>
            </w:r>
            <w:r>
              <w:rPr>
                <w:rFonts w:ascii="Times New Roman" w:hAnsi="Times New Roman" w:cs="Times New Roman"/>
                <w:sz w:val="20"/>
                <w:szCs w:val="20"/>
              </w:rPr>
              <w:t>2. Approximately 90% of work is completed</w:t>
            </w:r>
          </w:p>
        </w:tc>
        <w:tc>
          <w:tcPr>
            <w:tcW w:w="2852" w:type="dxa"/>
          </w:tcPr>
          <w:p w14:paraId="68B43DE9">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 Assembly should ensure regular maintenance </w:t>
            </w:r>
          </w:p>
          <w:p w14:paraId="65B7F7E6">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of the building. road. </w:t>
            </w:r>
            <w:r>
              <w:rPr>
                <w:rFonts w:ascii="Times New Roman" w:hAnsi="Times New Roman" w:cs="Times New Roman"/>
                <w:sz w:val="20"/>
                <w:szCs w:val="20"/>
              </w:rPr>
              <w:br w:type="textWrapping"/>
            </w:r>
            <w:r>
              <w:rPr>
                <w:rFonts w:ascii="Times New Roman" w:hAnsi="Times New Roman" w:cs="Times New Roman"/>
                <w:sz w:val="20"/>
                <w:szCs w:val="20"/>
              </w:rPr>
              <w:t>2. Conduct participatory monitoring during the final</w:t>
            </w:r>
          </w:p>
          <w:p w14:paraId="5DAE0DBE">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stages.</w:t>
            </w:r>
          </w:p>
        </w:tc>
      </w:tr>
      <w:tr w14:paraId="6C7F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838" w:type="dxa"/>
          </w:tcPr>
          <w:p w14:paraId="5BF14B35">
            <w:pPr>
              <w:spacing w:after="0" w:line="240" w:lineRule="auto"/>
              <w:rPr>
                <w:rFonts w:ascii="Times New Roman" w:hAnsi="Times New Roman" w:cs="Times New Roman"/>
                <w:sz w:val="20"/>
                <w:szCs w:val="20"/>
              </w:rPr>
            </w:pPr>
            <w:r>
              <w:rPr>
                <w:rFonts w:ascii="Times New Roman" w:hAnsi="Times New Roman" w:eastAsia="Calibri" w:cs="Times New Roman"/>
                <w:sz w:val="20"/>
                <w:szCs w:val="20"/>
              </w:rPr>
              <w:t>MIDTERM</w:t>
            </w:r>
          </w:p>
        </w:tc>
        <w:tc>
          <w:tcPr>
            <w:tcW w:w="2058" w:type="dxa"/>
          </w:tcPr>
          <w:p w14:paraId="52DF054C">
            <w:pPr>
              <w:pStyle w:val="26"/>
              <w:spacing w:line="276" w:lineRule="auto"/>
              <w:rPr>
                <w:rFonts w:eastAsia="Calibri"/>
                <w:sz w:val="20"/>
                <w:szCs w:val="20"/>
              </w:rPr>
            </w:pPr>
            <w:r>
              <w:rPr>
                <w:sz w:val="20"/>
                <w:szCs w:val="20"/>
              </w:rPr>
              <w:t>Construction of 1No. 16-seater W/C toilet with 4 No. bathrooms, New Abirem</w:t>
            </w:r>
          </w:p>
        </w:tc>
        <w:tc>
          <w:tcPr>
            <w:tcW w:w="1208" w:type="dxa"/>
          </w:tcPr>
          <w:p w14:paraId="50DB14AB">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DPCU</w:t>
            </w:r>
          </w:p>
        </w:tc>
        <w:tc>
          <w:tcPr>
            <w:tcW w:w="2097" w:type="dxa"/>
          </w:tcPr>
          <w:p w14:paraId="7FB4B8B6">
            <w:pPr>
              <w:spacing w:after="0" w:line="240" w:lineRule="auto"/>
              <w:rPr>
                <w:rFonts w:ascii="Times New Roman" w:hAnsi="Times New Roman" w:cs="Times New Roman"/>
                <w:sz w:val="20"/>
                <w:szCs w:val="20"/>
              </w:rPr>
            </w:pPr>
            <w:r>
              <w:rPr>
                <w:rFonts w:ascii="Times New Roman" w:hAnsi="Times New Roman" w:eastAsia="Calibri" w:cs="Times New Roman"/>
                <w:sz w:val="20"/>
                <w:szCs w:val="20"/>
              </w:rPr>
              <w:t>Field indicators check list agreed on by DPCU</w:t>
            </w:r>
          </w:p>
        </w:tc>
        <w:tc>
          <w:tcPr>
            <w:tcW w:w="1588" w:type="dxa"/>
          </w:tcPr>
          <w:p w14:paraId="531F2117">
            <w:pPr>
              <w:spacing w:after="0" w:line="276" w:lineRule="auto"/>
              <w:jc w:val="both"/>
              <w:rPr>
                <w:rFonts w:ascii="Times New Roman" w:hAnsi="Times New Roman" w:cs="Times New Roman"/>
                <w:sz w:val="20"/>
                <w:szCs w:val="20"/>
              </w:rPr>
            </w:pPr>
            <w:r>
              <w:rPr>
                <w:rFonts w:ascii="Times New Roman" w:hAnsi="Times New Roman" w:cs="Times New Roman"/>
                <w:sz w:val="20"/>
                <w:szCs w:val="20"/>
              </w:rPr>
              <w:t>1.Work on the project is due completion</w:t>
            </w:r>
          </w:p>
          <w:p w14:paraId="6C455CAC">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2.the project is 90% completed </w:t>
            </w:r>
          </w:p>
        </w:tc>
        <w:tc>
          <w:tcPr>
            <w:tcW w:w="2852" w:type="dxa"/>
          </w:tcPr>
          <w:p w14:paraId="3C013336">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 The Assembly should ensure regular maintenance </w:t>
            </w:r>
          </w:p>
          <w:p w14:paraId="15167ADB">
            <w:pPr>
              <w:spacing w:after="0" w:line="276" w:lineRule="auto"/>
              <w:jc w:val="both"/>
              <w:rPr>
                <w:rFonts w:ascii="Times New Roman" w:hAnsi="Times New Roman" w:cs="Times New Roman"/>
                <w:sz w:val="20"/>
                <w:szCs w:val="20"/>
              </w:rPr>
            </w:pPr>
            <w:r>
              <w:rPr>
                <w:rFonts w:ascii="Times New Roman" w:hAnsi="Times New Roman" w:cs="Times New Roman"/>
                <w:sz w:val="20"/>
                <w:szCs w:val="20"/>
              </w:rPr>
              <w:t>of the road.</w:t>
            </w:r>
          </w:p>
          <w:p w14:paraId="1A73EE0A">
            <w:pPr>
              <w:spacing w:after="0" w:line="276" w:lineRule="auto"/>
              <w:jc w:val="both"/>
              <w:rPr>
                <w:rFonts w:ascii="Times New Roman" w:hAnsi="Times New Roman" w:cs="Times New Roman"/>
                <w:sz w:val="20"/>
                <w:szCs w:val="20"/>
              </w:rPr>
            </w:pPr>
            <w:r>
              <w:rPr>
                <w:rFonts w:ascii="Times New Roman" w:hAnsi="Times New Roman" w:cs="Times New Roman"/>
                <w:sz w:val="20"/>
                <w:szCs w:val="20"/>
              </w:rPr>
              <w:t>2. Participatory Monitoring is advised.</w:t>
            </w:r>
          </w:p>
        </w:tc>
      </w:tr>
      <w:tr w14:paraId="351B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838" w:type="dxa"/>
          </w:tcPr>
          <w:p w14:paraId="7BB2045F">
            <w:pPr>
              <w:spacing w:after="0" w:line="276"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MIDTERM</w:t>
            </w:r>
          </w:p>
        </w:tc>
        <w:tc>
          <w:tcPr>
            <w:tcW w:w="2058" w:type="dxa"/>
          </w:tcPr>
          <w:p w14:paraId="775EA506">
            <w:pPr>
              <w:spacing w:after="0" w:line="276" w:lineRule="auto"/>
              <w:jc w:val="both"/>
              <w:rPr>
                <w:rFonts w:ascii="Times New Roman" w:hAnsi="Times New Roman" w:eastAsia="Calibri" w:cs="Times New Roman"/>
                <w:sz w:val="20"/>
                <w:szCs w:val="20"/>
              </w:rPr>
            </w:pPr>
            <w:r>
              <w:rPr>
                <w:rFonts w:ascii="Times New Roman" w:hAnsi="Times New Roman" w:cs="Times New Roman"/>
                <w:sz w:val="20"/>
                <w:szCs w:val="20"/>
              </w:rPr>
              <w:t>Construction of 1No. 16-lockable stores, Afosu Phase I &amp; II</w:t>
            </w:r>
          </w:p>
        </w:tc>
        <w:tc>
          <w:tcPr>
            <w:tcW w:w="1208" w:type="dxa"/>
          </w:tcPr>
          <w:p w14:paraId="04EDC268">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DPCU</w:t>
            </w:r>
          </w:p>
        </w:tc>
        <w:tc>
          <w:tcPr>
            <w:tcW w:w="2097" w:type="dxa"/>
          </w:tcPr>
          <w:p w14:paraId="3047C090">
            <w:pPr>
              <w:spacing w:after="0" w:line="276" w:lineRule="auto"/>
              <w:jc w:val="both"/>
              <w:rPr>
                <w:rFonts w:ascii="Times New Roman" w:hAnsi="Times New Roman" w:eastAsia="Calibri" w:cs="Times New Roman"/>
                <w:sz w:val="20"/>
                <w:szCs w:val="20"/>
              </w:rPr>
            </w:pPr>
            <w:r>
              <w:rPr>
                <w:rFonts w:ascii="Times New Roman" w:hAnsi="Times New Roman" w:cs="Times New Roman"/>
                <w:sz w:val="20"/>
                <w:szCs w:val="20"/>
              </w:rPr>
              <w:t>Interview/focus group discussion.</w:t>
            </w:r>
          </w:p>
        </w:tc>
        <w:tc>
          <w:tcPr>
            <w:tcW w:w="1588" w:type="dxa"/>
          </w:tcPr>
          <w:p w14:paraId="4BB3114E">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1. Some community members were unaware that the project is an Assembly initiative. </w:t>
            </w:r>
            <w:r>
              <w:rPr>
                <w:rFonts w:ascii="Times New Roman" w:hAnsi="Times New Roman" w:cs="Times New Roman"/>
                <w:sz w:val="20"/>
                <w:szCs w:val="20"/>
              </w:rPr>
              <w:br w:type="textWrapping"/>
            </w:r>
            <w:r>
              <w:rPr>
                <w:rFonts w:ascii="Times New Roman" w:hAnsi="Times New Roman" w:cs="Times New Roman"/>
                <w:sz w:val="20"/>
                <w:szCs w:val="20"/>
              </w:rPr>
              <w:t xml:space="preserve">2. Project progress has been steady due to committed funding. </w:t>
            </w:r>
          </w:p>
        </w:tc>
        <w:tc>
          <w:tcPr>
            <w:tcW w:w="2852" w:type="dxa"/>
          </w:tcPr>
          <w:p w14:paraId="2FABB1A2">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 Contractor should install project signage at the site. </w:t>
            </w:r>
            <w:r>
              <w:rPr>
                <w:rFonts w:ascii="Times New Roman" w:hAnsi="Times New Roman" w:cs="Times New Roman"/>
                <w:sz w:val="20"/>
                <w:szCs w:val="20"/>
              </w:rPr>
              <w:br w:type="textWrapping"/>
            </w:r>
            <w:r>
              <w:rPr>
                <w:rFonts w:ascii="Times New Roman" w:hAnsi="Times New Roman" w:cs="Times New Roman"/>
                <w:sz w:val="20"/>
                <w:szCs w:val="20"/>
              </w:rPr>
              <w:t xml:space="preserve">2. Encourage community participation in project implementation. </w:t>
            </w:r>
            <w:r>
              <w:rPr>
                <w:rFonts w:ascii="Times New Roman" w:hAnsi="Times New Roman" w:cs="Times New Roman"/>
                <w:sz w:val="20"/>
                <w:szCs w:val="20"/>
              </w:rPr>
              <w:br w:type="textWrapping"/>
            </w:r>
            <w:r>
              <w:rPr>
                <w:rFonts w:ascii="Times New Roman" w:hAnsi="Times New Roman" w:cs="Times New Roman"/>
                <w:sz w:val="20"/>
                <w:szCs w:val="20"/>
              </w:rPr>
              <w:t xml:space="preserve">3. Form a committee to ensure proper maintenance </w:t>
            </w:r>
          </w:p>
          <w:p w14:paraId="68CA5496">
            <w:pPr>
              <w:spacing w:after="0" w:line="276" w:lineRule="auto"/>
              <w:jc w:val="both"/>
              <w:rPr>
                <w:rFonts w:ascii="Times New Roman" w:hAnsi="Times New Roman" w:cs="Times New Roman"/>
                <w:sz w:val="20"/>
                <w:szCs w:val="20"/>
              </w:rPr>
            </w:pPr>
            <w:r>
              <w:rPr>
                <w:rFonts w:ascii="Times New Roman" w:hAnsi="Times New Roman" w:cs="Times New Roman"/>
                <w:sz w:val="20"/>
                <w:szCs w:val="20"/>
              </w:rPr>
              <w:t>of the facilities</w:t>
            </w:r>
          </w:p>
        </w:tc>
      </w:tr>
    </w:tbl>
    <w:p w14:paraId="0DAAC87A">
      <w:pPr>
        <w:spacing w:before="240" w:line="360" w:lineRule="auto"/>
        <w:rPr>
          <w:rFonts w:ascii="Times New Roman" w:hAnsi="Times New Roman" w:cs="Times New Roman"/>
          <w:b/>
        </w:rPr>
      </w:pPr>
      <w:r>
        <w:rPr>
          <w:rFonts w:ascii="Times New Roman" w:hAnsi="Times New Roman" w:cs="Times New Roman"/>
          <w:b/>
        </w:rPr>
        <w:t>Table 10: Participatory Monitoring and Evaluation and Their Results</w:t>
      </w:r>
    </w:p>
    <w:tbl>
      <w:tblPr>
        <w:tblStyle w:val="16"/>
        <w:tblW w:w="11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701"/>
        <w:gridCol w:w="1697"/>
        <w:gridCol w:w="1701"/>
        <w:gridCol w:w="2409"/>
        <w:gridCol w:w="2268"/>
      </w:tblGrid>
      <w:tr w14:paraId="01D1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559" w:type="dxa"/>
            <w:shd w:val="clear" w:color="auto" w:fill="D6DCE4" w:themeFill="text2" w:themeFillTint="33"/>
          </w:tcPr>
          <w:p w14:paraId="6BD9B4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Name of The PM &amp; E Tool</w:t>
            </w:r>
          </w:p>
        </w:tc>
        <w:tc>
          <w:tcPr>
            <w:tcW w:w="1701" w:type="dxa"/>
            <w:shd w:val="clear" w:color="auto" w:fill="D6DCE4" w:themeFill="text2" w:themeFillTint="33"/>
          </w:tcPr>
          <w:p w14:paraId="19E03E9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Policy/Programme/Project Involved</w:t>
            </w:r>
          </w:p>
        </w:tc>
        <w:tc>
          <w:tcPr>
            <w:tcW w:w="1697" w:type="dxa"/>
            <w:shd w:val="clear" w:color="auto" w:fill="D6DCE4" w:themeFill="text2" w:themeFillTint="33"/>
          </w:tcPr>
          <w:p w14:paraId="4ACDF03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Consultant/Resource Persons Involved</w:t>
            </w:r>
          </w:p>
        </w:tc>
        <w:tc>
          <w:tcPr>
            <w:tcW w:w="1701" w:type="dxa"/>
            <w:shd w:val="clear" w:color="auto" w:fill="D6DCE4" w:themeFill="text2" w:themeFillTint="33"/>
          </w:tcPr>
          <w:p w14:paraId="59851AC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Methodology Used</w:t>
            </w:r>
          </w:p>
        </w:tc>
        <w:tc>
          <w:tcPr>
            <w:tcW w:w="2409" w:type="dxa"/>
            <w:shd w:val="clear" w:color="auto" w:fill="D6DCE4" w:themeFill="text2" w:themeFillTint="33"/>
          </w:tcPr>
          <w:p w14:paraId="626182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Findings</w:t>
            </w:r>
          </w:p>
        </w:tc>
        <w:tc>
          <w:tcPr>
            <w:tcW w:w="2268" w:type="dxa"/>
            <w:shd w:val="clear" w:color="auto" w:fill="D6DCE4" w:themeFill="text2" w:themeFillTint="33"/>
          </w:tcPr>
          <w:p w14:paraId="51DF627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Recommendations</w:t>
            </w:r>
          </w:p>
        </w:tc>
      </w:tr>
      <w:tr w14:paraId="0BF4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1559" w:type="dxa"/>
            <w:vMerge w:val="restart"/>
          </w:tcPr>
          <w:p w14:paraId="59AFD260">
            <w:pPr>
              <w:spacing w:after="0" w:line="240" w:lineRule="auto"/>
              <w:rPr>
                <w:rFonts w:ascii="Times New Roman" w:hAnsi="Times New Roman" w:eastAsia="Calibri" w:cs="Times New Roman"/>
                <w:sz w:val="20"/>
                <w:szCs w:val="20"/>
              </w:rPr>
            </w:pPr>
            <w:r>
              <w:rPr>
                <w:rFonts w:ascii="Times New Roman" w:hAnsi="Times New Roman" w:cs="Times New Roman"/>
                <w:sz w:val="20"/>
                <w:szCs w:val="20"/>
              </w:rPr>
              <w:t>Participatory Rural Appraisal</w:t>
            </w:r>
          </w:p>
        </w:tc>
        <w:tc>
          <w:tcPr>
            <w:tcW w:w="1701" w:type="dxa"/>
            <w:vMerge w:val="restart"/>
          </w:tcPr>
          <w:p w14:paraId="492697A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Developments projects </w:t>
            </w:r>
          </w:p>
        </w:tc>
        <w:tc>
          <w:tcPr>
            <w:tcW w:w="1697" w:type="dxa"/>
            <w:vMerge w:val="restart"/>
          </w:tcPr>
          <w:p w14:paraId="6894A5ED">
            <w:pPr>
              <w:spacing w:after="0" w:line="240" w:lineRule="auto"/>
              <w:rPr>
                <w:rFonts w:ascii="Times New Roman" w:hAnsi="Times New Roman" w:cs="Times New Roman"/>
                <w:sz w:val="20"/>
                <w:szCs w:val="20"/>
              </w:rPr>
            </w:pPr>
            <w:r>
              <w:rPr>
                <w:rFonts w:ascii="Times New Roman" w:hAnsi="Times New Roman" w:cs="Times New Roman"/>
                <w:sz w:val="20"/>
                <w:szCs w:val="20"/>
              </w:rPr>
              <w:t>DPCU</w:t>
            </w:r>
          </w:p>
        </w:tc>
        <w:tc>
          <w:tcPr>
            <w:tcW w:w="1701" w:type="dxa"/>
            <w:vMerge w:val="restart"/>
          </w:tcPr>
          <w:p w14:paraId="29AE612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Observation </w:t>
            </w:r>
          </w:p>
          <w:p w14:paraId="21D19F6F">
            <w:pPr>
              <w:spacing w:after="0" w:line="240" w:lineRule="auto"/>
              <w:rPr>
                <w:rFonts w:ascii="Times New Roman" w:hAnsi="Times New Roman" w:cs="Times New Roman"/>
                <w:sz w:val="20"/>
                <w:szCs w:val="20"/>
              </w:rPr>
            </w:pPr>
            <w:r>
              <w:rPr>
                <w:rFonts w:ascii="Times New Roman" w:hAnsi="Times New Roman" w:cs="Times New Roman"/>
                <w:sz w:val="20"/>
                <w:szCs w:val="20"/>
              </w:rPr>
              <w:t>Focus group discussions, interviews</w:t>
            </w:r>
          </w:p>
        </w:tc>
        <w:tc>
          <w:tcPr>
            <w:tcW w:w="2409" w:type="dxa"/>
          </w:tcPr>
          <w:p w14:paraId="01DE3ABF">
            <w:pPr>
              <w:spacing w:after="0" w:line="240" w:lineRule="auto"/>
              <w:rPr>
                <w:rFonts w:ascii="Times New Roman" w:hAnsi="Times New Roman" w:cs="Times New Roman"/>
                <w:sz w:val="20"/>
                <w:szCs w:val="20"/>
              </w:rPr>
            </w:pPr>
            <w:r>
              <w:rPr>
                <w:rFonts w:ascii="Times New Roman" w:hAnsi="Times New Roman" w:cs="Times New Roman"/>
                <w:sz w:val="20"/>
                <w:szCs w:val="20"/>
              </w:rPr>
              <w:t>Delay in the completion of some projects especially DACF projects.</w:t>
            </w:r>
          </w:p>
          <w:p w14:paraId="4580678F">
            <w:pPr>
              <w:spacing w:after="0" w:line="240" w:lineRule="auto"/>
              <w:rPr>
                <w:rFonts w:ascii="Times New Roman" w:hAnsi="Times New Roman" w:cs="Times New Roman"/>
                <w:sz w:val="20"/>
                <w:szCs w:val="20"/>
              </w:rPr>
            </w:pPr>
          </w:p>
        </w:tc>
        <w:tc>
          <w:tcPr>
            <w:tcW w:w="2268" w:type="dxa"/>
          </w:tcPr>
          <w:p w14:paraId="6A11BF4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Regular monitoring </w:t>
            </w:r>
          </w:p>
          <w:p w14:paraId="45E4E276">
            <w:pPr>
              <w:spacing w:after="0" w:line="240" w:lineRule="auto"/>
              <w:rPr>
                <w:rFonts w:ascii="Times New Roman" w:hAnsi="Times New Roman" w:cs="Times New Roman"/>
                <w:sz w:val="20"/>
                <w:szCs w:val="20"/>
              </w:rPr>
            </w:pPr>
            <w:r>
              <w:rPr>
                <w:rFonts w:ascii="Times New Roman" w:hAnsi="Times New Roman" w:cs="Times New Roman"/>
                <w:sz w:val="20"/>
                <w:szCs w:val="20"/>
              </w:rPr>
              <w:t>and inspection needs</w:t>
            </w:r>
          </w:p>
          <w:p w14:paraId="78D09B8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to carried out to </w:t>
            </w:r>
          </w:p>
          <w:p w14:paraId="75EAD7D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ensure value for </w:t>
            </w:r>
          </w:p>
          <w:p w14:paraId="4D6738A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money. </w:t>
            </w:r>
          </w:p>
        </w:tc>
      </w:tr>
      <w:tr w14:paraId="5715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59" w:type="dxa"/>
            <w:vMerge w:val="continue"/>
          </w:tcPr>
          <w:p w14:paraId="3D7EE7B2">
            <w:pPr>
              <w:spacing w:after="0" w:line="240" w:lineRule="auto"/>
              <w:rPr>
                <w:rFonts w:ascii="Times New Roman" w:hAnsi="Times New Roman" w:cs="Times New Roman"/>
                <w:sz w:val="20"/>
                <w:szCs w:val="20"/>
              </w:rPr>
            </w:pPr>
          </w:p>
        </w:tc>
        <w:tc>
          <w:tcPr>
            <w:tcW w:w="1701" w:type="dxa"/>
            <w:vMerge w:val="continue"/>
          </w:tcPr>
          <w:p w14:paraId="488B75D9">
            <w:pPr>
              <w:spacing w:after="0" w:line="240" w:lineRule="auto"/>
              <w:rPr>
                <w:rFonts w:ascii="Times New Roman" w:hAnsi="Times New Roman" w:cs="Times New Roman"/>
                <w:sz w:val="20"/>
                <w:szCs w:val="20"/>
              </w:rPr>
            </w:pPr>
          </w:p>
        </w:tc>
        <w:tc>
          <w:tcPr>
            <w:tcW w:w="1697" w:type="dxa"/>
            <w:vMerge w:val="continue"/>
          </w:tcPr>
          <w:p w14:paraId="2934EC09">
            <w:pPr>
              <w:spacing w:after="0" w:line="240" w:lineRule="auto"/>
              <w:rPr>
                <w:rFonts w:ascii="Times New Roman" w:hAnsi="Times New Roman" w:cs="Times New Roman"/>
                <w:sz w:val="20"/>
                <w:szCs w:val="20"/>
              </w:rPr>
            </w:pPr>
          </w:p>
        </w:tc>
        <w:tc>
          <w:tcPr>
            <w:tcW w:w="1701" w:type="dxa"/>
            <w:vMerge w:val="continue"/>
          </w:tcPr>
          <w:p w14:paraId="6E4FE5D1">
            <w:pPr>
              <w:spacing w:after="0" w:line="240" w:lineRule="auto"/>
              <w:rPr>
                <w:rFonts w:ascii="Times New Roman" w:hAnsi="Times New Roman" w:cs="Times New Roman"/>
                <w:sz w:val="20"/>
                <w:szCs w:val="20"/>
              </w:rPr>
            </w:pPr>
          </w:p>
        </w:tc>
        <w:tc>
          <w:tcPr>
            <w:tcW w:w="2409" w:type="dxa"/>
          </w:tcPr>
          <w:p w14:paraId="0A3066E2">
            <w:pPr>
              <w:spacing w:after="0" w:line="240" w:lineRule="auto"/>
              <w:rPr>
                <w:rFonts w:ascii="Times New Roman" w:hAnsi="Times New Roman" w:cs="Times New Roman"/>
                <w:sz w:val="20"/>
                <w:szCs w:val="20"/>
              </w:rPr>
            </w:pPr>
            <w:r>
              <w:rPr>
                <w:rFonts w:ascii="Times New Roman" w:hAnsi="Times New Roman" w:cs="Times New Roman"/>
                <w:sz w:val="20"/>
                <w:szCs w:val="20"/>
              </w:rPr>
              <w:t>Inadequate logistics to undertake PME activities.</w:t>
            </w:r>
          </w:p>
        </w:tc>
        <w:tc>
          <w:tcPr>
            <w:tcW w:w="2268" w:type="dxa"/>
          </w:tcPr>
          <w:p w14:paraId="7DE7AB9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Adequate resources </w:t>
            </w:r>
          </w:p>
          <w:p w14:paraId="3BADADB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should be allocated </w:t>
            </w:r>
          </w:p>
          <w:p w14:paraId="10EF4ABC">
            <w:pPr>
              <w:spacing w:after="0" w:line="240" w:lineRule="auto"/>
              <w:rPr>
                <w:rFonts w:ascii="Times New Roman" w:hAnsi="Times New Roman" w:cs="Times New Roman"/>
                <w:sz w:val="20"/>
                <w:szCs w:val="20"/>
              </w:rPr>
            </w:pPr>
            <w:r>
              <w:rPr>
                <w:rFonts w:ascii="Times New Roman" w:hAnsi="Times New Roman" w:cs="Times New Roman"/>
                <w:sz w:val="20"/>
                <w:szCs w:val="20"/>
              </w:rPr>
              <w:t>and released for</w:t>
            </w:r>
          </w:p>
          <w:p w14:paraId="4712D9A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monitoring and </w:t>
            </w:r>
          </w:p>
          <w:p w14:paraId="39359159">
            <w:pPr>
              <w:spacing w:after="0" w:line="240" w:lineRule="auto"/>
              <w:rPr>
                <w:rFonts w:ascii="Times New Roman" w:hAnsi="Times New Roman" w:cs="Times New Roman"/>
                <w:sz w:val="20"/>
                <w:szCs w:val="20"/>
              </w:rPr>
            </w:pPr>
            <w:r>
              <w:rPr>
                <w:rFonts w:ascii="Times New Roman" w:hAnsi="Times New Roman" w:cs="Times New Roman"/>
                <w:sz w:val="20"/>
                <w:szCs w:val="20"/>
              </w:rPr>
              <w:t>evaluation activities.</w:t>
            </w:r>
          </w:p>
        </w:tc>
      </w:tr>
    </w:tbl>
    <w:p w14:paraId="7B37A526">
      <w:pPr>
        <w:rPr>
          <w:rFonts w:ascii="Times New Roman" w:hAnsi="Times New Roman" w:cs="Times New Roman"/>
          <w:lang w:val="en-GB"/>
        </w:rPr>
      </w:pPr>
    </w:p>
    <w:p w14:paraId="20C78A0F">
      <w:pPr>
        <w:rPr>
          <w:rFonts w:ascii="Times New Roman" w:hAnsi="Times New Roman" w:cs="Times New Roman"/>
          <w:lang w:val="en-GB"/>
        </w:rPr>
      </w:pPr>
    </w:p>
    <w:p w14:paraId="2208209E">
      <w:pPr>
        <w:pStyle w:val="2"/>
        <w:jc w:val="center"/>
      </w:pPr>
      <w:bookmarkStart w:id="111" w:name="_Toc222333875"/>
    </w:p>
    <w:p w14:paraId="2CD80599">
      <w:pPr>
        <w:pStyle w:val="2"/>
        <w:jc w:val="center"/>
      </w:pPr>
    </w:p>
    <w:p w14:paraId="765B7AE5">
      <w:pPr>
        <w:pStyle w:val="2"/>
        <w:jc w:val="center"/>
      </w:pPr>
    </w:p>
    <w:p w14:paraId="2E86ABDD">
      <w:pPr>
        <w:pStyle w:val="2"/>
        <w:jc w:val="center"/>
      </w:pPr>
    </w:p>
    <w:p w14:paraId="7F7BFCBF">
      <w:pPr>
        <w:pStyle w:val="2"/>
        <w:jc w:val="center"/>
      </w:pPr>
    </w:p>
    <w:p w14:paraId="529C25D2">
      <w:pPr>
        <w:pStyle w:val="2"/>
        <w:jc w:val="center"/>
      </w:pPr>
    </w:p>
    <w:p w14:paraId="4B63BBA3">
      <w:pPr>
        <w:pStyle w:val="2"/>
        <w:jc w:val="center"/>
      </w:pPr>
    </w:p>
    <w:p w14:paraId="4C222798">
      <w:pPr>
        <w:pStyle w:val="2"/>
        <w:jc w:val="center"/>
      </w:pPr>
    </w:p>
    <w:p w14:paraId="5555C1B7">
      <w:pPr>
        <w:pStyle w:val="2"/>
        <w:jc w:val="center"/>
      </w:pPr>
    </w:p>
    <w:p w14:paraId="55F57EF8">
      <w:pPr>
        <w:pStyle w:val="2"/>
        <w:jc w:val="center"/>
      </w:pPr>
    </w:p>
    <w:p w14:paraId="4614C2BD">
      <w:pPr>
        <w:pStyle w:val="2"/>
        <w:jc w:val="center"/>
      </w:pPr>
    </w:p>
    <w:p w14:paraId="257FB3EA">
      <w:pPr>
        <w:pStyle w:val="2"/>
        <w:jc w:val="center"/>
      </w:pPr>
    </w:p>
    <w:p w14:paraId="1D4FE1C3">
      <w:pPr>
        <w:pStyle w:val="2"/>
        <w:jc w:val="center"/>
      </w:pPr>
      <w:bookmarkStart w:id="112" w:name="_Toc230260742"/>
      <w:r>
        <w:t>CHAPTER THREE</w:t>
      </w:r>
      <w:bookmarkEnd w:id="111"/>
      <w:bookmarkEnd w:id="112"/>
    </w:p>
    <w:p w14:paraId="1C94A665">
      <w:pPr>
        <w:pStyle w:val="2"/>
        <w:jc w:val="center"/>
      </w:pPr>
      <w:bookmarkStart w:id="113" w:name="_Toc173321184"/>
      <w:bookmarkStart w:id="114" w:name="_Toc189219101"/>
      <w:bookmarkStart w:id="115" w:name="_Toc230260743"/>
      <w:bookmarkStart w:id="116" w:name="_Toc222333876"/>
      <w:bookmarkStart w:id="117" w:name="_Toc157636392"/>
      <w:r>
        <w:t>THE WAY FORWARD</w:t>
      </w:r>
      <w:bookmarkEnd w:id="113"/>
      <w:bookmarkEnd w:id="114"/>
      <w:bookmarkEnd w:id="115"/>
      <w:bookmarkEnd w:id="116"/>
      <w:bookmarkEnd w:id="117"/>
    </w:p>
    <w:p w14:paraId="0DC03F25">
      <w:pPr>
        <w:pStyle w:val="2"/>
      </w:pPr>
      <w:bookmarkStart w:id="118" w:name="_Toc189219102"/>
      <w:bookmarkStart w:id="119" w:name="_Toc157636393"/>
      <w:bookmarkStart w:id="120" w:name="_Toc222333877"/>
      <w:bookmarkStart w:id="121" w:name="_Toc173321185"/>
      <w:bookmarkStart w:id="122" w:name="_Toc230260744"/>
      <w:r>
        <w:t>3.0 Introduction</w:t>
      </w:r>
      <w:bookmarkEnd w:id="118"/>
      <w:bookmarkEnd w:id="119"/>
      <w:bookmarkEnd w:id="120"/>
      <w:bookmarkEnd w:id="121"/>
      <w:bookmarkEnd w:id="122"/>
    </w:p>
    <w:p w14:paraId="234328BD">
      <w:pPr>
        <w:spacing w:before="240" w:line="360" w:lineRule="auto"/>
        <w:jc w:val="both"/>
        <w:rPr>
          <w:rFonts w:ascii="Times New Roman" w:hAnsi="Times New Roman" w:cs="Times New Roman"/>
          <w:sz w:val="24"/>
          <w:szCs w:val="24"/>
        </w:rPr>
      </w:pPr>
      <w:bookmarkStart w:id="123" w:name="_Toc157636394"/>
      <w:bookmarkStart w:id="124" w:name="_Toc189219103"/>
      <w:bookmarkStart w:id="125" w:name="_Toc173321186"/>
      <w:r>
        <w:rPr>
          <w:rFonts w:ascii="Times New Roman" w:hAnsi="Times New Roman" w:cs="Times New Roman"/>
          <w:sz w:val="24"/>
          <w:szCs w:val="24"/>
        </w:rPr>
        <w:t>This chapter presents a summary of the key issues that emerged during the reporting period, highlighting both the progress made in the implementation of planned programmes and the challenges that affected overall performance. It provides an overview of the operational environment within which the District implemented its development interventions, with particular emphasis on factors that influenced service delivery and project execution.</w:t>
      </w:r>
    </w:p>
    <w:p w14:paraId="627E9A4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Although the District recorded notable achievements across various sectors, including improvements in service delivery, revenue mobilisation, and implementation of development projects, a number of institutional and operational challenges were also observed. These challenges include resource constraints, delays in the release of statutory funds, logistical limitations, and capacity gaps in some implementing departments.</w:t>
      </w:r>
    </w:p>
    <w:p w14:paraId="2DF1517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Addressing these challenges is critical to improving efficiency, strengthening accountability systems, and enhancing the overall effectiveness of public service delivery. It is therefore important that appropriate corrective measures are put in place to sustain the gains made and address identified gaps in implementation.</w:t>
      </w:r>
    </w:p>
    <w:p w14:paraId="1DCDFFA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Section of the report provides the basis for informed decision-making and sets the stage for targeted interventions aimed at improving performance. By responding strategically to the issues identified, the District will be better positioned to achieve sustainable development outcomes and ensure that development interventions deliver meaningful and lasting benefits to the communities it serves.</w:t>
      </w:r>
    </w:p>
    <w:p w14:paraId="02D51B23">
      <w:pPr>
        <w:pStyle w:val="3"/>
        <w:rPr>
          <w:rFonts w:ascii="Times New Roman" w:hAnsi="Times New Roman" w:cs="Times New Roman"/>
          <w:b/>
          <w:color w:val="auto"/>
          <w:sz w:val="24"/>
          <w:szCs w:val="24"/>
        </w:rPr>
      </w:pPr>
      <w:bookmarkStart w:id="126" w:name="_Toc230260745"/>
      <w:bookmarkStart w:id="127" w:name="_Toc222333878"/>
      <w:r>
        <w:rPr>
          <w:rFonts w:ascii="Times New Roman" w:hAnsi="Times New Roman" w:cs="Times New Roman"/>
          <w:b/>
          <w:color w:val="auto"/>
          <w:sz w:val="24"/>
          <w:szCs w:val="24"/>
        </w:rPr>
        <w:t>3.1 Key Issues Addressed</w:t>
      </w:r>
      <w:bookmarkEnd w:id="123"/>
      <w:bookmarkEnd w:id="124"/>
      <w:bookmarkEnd w:id="125"/>
      <w:bookmarkEnd w:id="126"/>
      <w:bookmarkEnd w:id="127"/>
    </w:p>
    <w:p w14:paraId="447EB80D">
      <w:pPr>
        <w:spacing w:before="240" w:line="360" w:lineRule="auto"/>
        <w:rPr>
          <w:rFonts w:ascii="Times New Roman" w:hAnsi="Times New Roman" w:cs="Times New Roman"/>
          <w:sz w:val="24"/>
          <w:szCs w:val="24"/>
        </w:rPr>
      </w:pPr>
      <w:bookmarkStart w:id="128" w:name="_Toc157636395"/>
      <w:bookmarkStart w:id="129" w:name="_Toc173321187"/>
      <w:bookmarkStart w:id="130" w:name="_Toc189219104"/>
      <w:r>
        <w:rPr>
          <w:rFonts w:ascii="Times New Roman" w:hAnsi="Times New Roman" w:cs="Times New Roman"/>
          <w:sz w:val="24"/>
          <w:szCs w:val="24"/>
        </w:rPr>
        <w:t>During the review period, a number of critical issues were identified and successfully addressed through timely interventions and stakeholder collaboration.</w:t>
      </w:r>
    </w:p>
    <w:p w14:paraId="4C679641">
      <w:pPr>
        <w:pStyle w:val="4"/>
        <w:rPr>
          <w:rFonts w:ascii="Times New Roman" w:hAnsi="Times New Roman" w:cs="Times New Roman"/>
          <w:b/>
          <w:i/>
          <w:color w:val="auto"/>
        </w:rPr>
      </w:pPr>
      <w:bookmarkStart w:id="131" w:name="_Toc230260746"/>
      <w:bookmarkStart w:id="132" w:name="_Toc222333879"/>
      <w:r>
        <w:rPr>
          <w:rFonts w:ascii="Times New Roman" w:hAnsi="Times New Roman" w:cs="Times New Roman"/>
          <w:b/>
          <w:i/>
          <w:color w:val="auto"/>
        </w:rPr>
        <w:t>3.1.1 Disaster Issues Resolved</w:t>
      </w:r>
      <w:bookmarkEnd w:id="128"/>
      <w:bookmarkEnd w:id="129"/>
      <w:bookmarkEnd w:id="130"/>
      <w:bookmarkEnd w:id="131"/>
      <w:bookmarkEnd w:id="132"/>
    </w:p>
    <w:p w14:paraId="10AB1709">
      <w:pPr>
        <w:spacing w:before="240" w:line="360" w:lineRule="auto"/>
        <w:jc w:val="both"/>
        <w:rPr>
          <w:rFonts w:ascii="Times New Roman" w:hAnsi="Times New Roman" w:cs="Times New Roman"/>
          <w:sz w:val="24"/>
          <w:szCs w:val="24"/>
        </w:rPr>
      </w:pPr>
      <w:bookmarkStart w:id="133" w:name="_Toc173321188"/>
      <w:bookmarkStart w:id="134" w:name="_Toc157636396"/>
      <w:bookmarkStart w:id="135" w:name="_Toc189219105"/>
      <w:r>
        <w:rPr>
          <w:rFonts w:ascii="Times New Roman" w:hAnsi="Times New Roman" w:cs="Times New Roman"/>
          <w:sz w:val="24"/>
          <w:szCs w:val="24"/>
        </w:rPr>
        <w:t xml:space="preserve">The interventions led to the restoration of industrial harmony, improved stakeholder confidence, and strengthened </w:t>
      </w:r>
    </w:p>
    <w:p w14:paraId="0E9F698C">
      <w:pPr>
        <w:pStyle w:val="3"/>
        <w:rPr>
          <w:rFonts w:ascii="Times New Roman" w:hAnsi="Times New Roman" w:cs="Times New Roman"/>
          <w:b/>
          <w:color w:val="auto"/>
          <w:sz w:val="24"/>
          <w:szCs w:val="24"/>
        </w:rPr>
      </w:pPr>
      <w:bookmarkStart w:id="136" w:name="_Toc222333880"/>
      <w:bookmarkStart w:id="137" w:name="_Toc230260747"/>
      <w:r>
        <w:rPr>
          <w:rFonts w:ascii="Times New Roman" w:hAnsi="Times New Roman" w:cs="Times New Roman"/>
          <w:b/>
          <w:color w:val="auto"/>
          <w:sz w:val="24"/>
          <w:szCs w:val="24"/>
        </w:rPr>
        <w:t>3.2 Key Issues Yet To Be Addressed</w:t>
      </w:r>
      <w:bookmarkEnd w:id="133"/>
      <w:bookmarkEnd w:id="134"/>
      <w:bookmarkEnd w:id="135"/>
      <w:bookmarkEnd w:id="136"/>
      <w:bookmarkEnd w:id="137"/>
    </w:p>
    <w:p w14:paraId="14A0D8F5">
      <w:pPr>
        <w:spacing w:before="240" w:line="360" w:lineRule="auto"/>
        <w:jc w:val="both"/>
        <w:rPr>
          <w:rFonts w:ascii="Times New Roman" w:hAnsi="Times New Roman" w:cs="Times New Roman"/>
          <w:sz w:val="24"/>
          <w:szCs w:val="24"/>
        </w:rPr>
      </w:pPr>
      <w:bookmarkStart w:id="138" w:name="_Toc189219106"/>
      <w:bookmarkStart w:id="139" w:name="_Toc173321189"/>
      <w:bookmarkStart w:id="140" w:name="_Toc157636397"/>
      <w:r>
        <w:rPr>
          <w:rFonts w:ascii="Times New Roman" w:hAnsi="Times New Roman" w:cs="Times New Roman"/>
          <w:sz w:val="24"/>
          <w:szCs w:val="24"/>
        </w:rPr>
        <w:t>Notwithstanding the gains recorded during the reporting period, a number of critical issues remain unresolved and require sustained attention to ensure social stability, effective service delivery, and improved governance outcomes.</w:t>
      </w:r>
    </w:p>
    <w:p w14:paraId="79AFF236">
      <w:pPr>
        <w:numPr>
          <w:ilvl w:val="0"/>
          <w:numId w:val="28"/>
        </w:numPr>
        <w:spacing w:before="240" w:line="360" w:lineRule="auto"/>
        <w:jc w:val="both"/>
        <w:rPr>
          <w:rFonts w:ascii="Times New Roman" w:hAnsi="Times New Roman" w:cs="Times New Roman"/>
          <w:sz w:val="24"/>
          <w:szCs w:val="24"/>
        </w:rPr>
      </w:pPr>
      <w:r>
        <w:rPr>
          <w:rFonts w:ascii="Times New Roman" w:hAnsi="Times New Roman" w:cs="Times New Roman"/>
          <w:b/>
          <w:bCs/>
          <w:sz w:val="24"/>
          <w:szCs w:val="24"/>
        </w:rPr>
        <w:t>Timely Release of Funds:</w:t>
      </w:r>
      <w:r>
        <w:rPr>
          <w:rFonts w:ascii="Times New Roman" w:hAnsi="Times New Roman" w:cs="Times New Roman"/>
          <w:sz w:val="24"/>
          <w:szCs w:val="24"/>
        </w:rPr>
        <w:t xml:space="preserve"> From an institutional and financial perspective, the erratic release of funds from central government continues to impede the effective implementation of planned programmes and projects. Although Internally Generated Funds (IGF) performance showed marginal improvement, the lack of predictable and timely central government disbursements remains a major constraint to service delivery and the continuity of development interventions.</w:t>
      </w:r>
    </w:p>
    <w:p w14:paraId="6DEBFF32">
      <w:pPr>
        <w:numPr>
          <w:ilvl w:val="0"/>
          <w:numId w:val="28"/>
        </w:numPr>
        <w:spacing w:before="240" w:line="360" w:lineRule="auto"/>
        <w:jc w:val="both"/>
        <w:rPr>
          <w:rFonts w:ascii="Times New Roman" w:hAnsi="Times New Roman" w:cs="Times New Roman"/>
          <w:sz w:val="24"/>
          <w:szCs w:val="24"/>
        </w:rPr>
      </w:pPr>
      <w:r>
        <w:rPr>
          <w:rFonts w:ascii="Times New Roman" w:hAnsi="Times New Roman" w:cs="Times New Roman"/>
          <w:b/>
          <w:bCs/>
          <w:sz w:val="24"/>
          <w:szCs w:val="24"/>
        </w:rPr>
        <w:t>Non-Compliance with Deadlines:</w:t>
      </w:r>
      <w:r>
        <w:rPr>
          <w:rFonts w:ascii="Times New Roman" w:hAnsi="Times New Roman" w:cs="Times New Roman"/>
          <w:sz w:val="24"/>
          <w:szCs w:val="24"/>
        </w:rPr>
        <w:t xml:space="preserve"> Furthermore, persistent non-compliance with reporting and operational deadlines by some departments has adversely affected the Monitoring and Evaluation (M&amp;E) cycle, thereby limiting the Assembly’s ability to track progress, assess outcomes, and make evidence-based decisions.</w:t>
      </w:r>
    </w:p>
    <w:p w14:paraId="11AA0B7E">
      <w:pPr>
        <w:numPr>
          <w:ilvl w:val="0"/>
          <w:numId w:val="28"/>
        </w:numPr>
        <w:spacing w:before="240" w:line="360" w:lineRule="auto"/>
        <w:jc w:val="both"/>
        <w:rPr>
          <w:rFonts w:ascii="Times New Roman" w:hAnsi="Times New Roman" w:cs="Times New Roman"/>
          <w:b/>
          <w:sz w:val="24"/>
          <w:szCs w:val="24"/>
        </w:rPr>
      </w:pPr>
      <w:r>
        <w:rPr>
          <w:rFonts w:ascii="Times New Roman" w:hAnsi="Times New Roman" w:cs="Times New Roman"/>
          <w:b/>
          <w:bCs/>
          <w:sz w:val="24"/>
          <w:szCs w:val="24"/>
        </w:rPr>
        <w:t>Functionality of Sub-Structures:</w:t>
      </w:r>
      <w:r>
        <w:rPr>
          <w:rFonts w:ascii="Times New Roman" w:hAnsi="Times New Roman" w:cs="Times New Roman"/>
          <w:sz w:val="24"/>
          <w:szCs w:val="24"/>
        </w:rPr>
        <w:t xml:space="preserve"> Lastly, the functionality of several sub-district structures remains weak. Their limited operational capacity continues to undermine revenue mobilization, grassroots participation, and the effectiveness of decentralized governance. Strengthening these sub-structures is therefore critical to improving local administration, accountability, and stakeholder engagement in the district’s development processes.</w:t>
      </w:r>
    </w:p>
    <w:p w14:paraId="41DF3D7A">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3.3 Recommendations</w:t>
      </w:r>
      <w:bookmarkEnd w:id="138"/>
      <w:bookmarkEnd w:id="139"/>
      <w:bookmarkEnd w:id="140"/>
    </w:p>
    <w:p w14:paraId="2C46411F">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In view of the challenges identified during the reporting period and to strengthen the District’s Monitoring and Evaluation (M&amp;E) system as well as overall development performance, the following recommendations are proposed for consideration and implementation:</w:t>
      </w:r>
    </w:p>
    <w:p w14:paraId="1E3D06E6">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Enhance DPCU Logistics:</w:t>
      </w:r>
      <w:r>
        <w:rPr>
          <w:rFonts w:ascii="Times New Roman" w:hAnsi="Times New Roman" w:cs="Times New Roman"/>
          <w:sz w:val="24"/>
          <w:szCs w:val="24"/>
        </w:rPr>
        <w:t xml:space="preserve"> The operational capacity of the District Planning Coordinating Unit (DPCU) should be strengthened through the provision of adequate logistics and working tools. This includes reliable means of transportation, communication equipment, and essential office facilities such as computers, printers, and stationery. Strengthening these logistical resources will improve coordination, supervision of projects, data collection, and timely reporting on development interventions. </w:t>
      </w:r>
    </w:p>
    <w:p w14:paraId="263E67B8">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Diversify Funding Sources:</w:t>
      </w:r>
      <w:r>
        <w:rPr>
          <w:rFonts w:ascii="Times New Roman" w:hAnsi="Times New Roman" w:cs="Times New Roman"/>
          <w:sz w:val="24"/>
          <w:szCs w:val="24"/>
        </w:rPr>
        <w:t xml:space="preserve"> To address persistent funding constraints, the Assembly should intensify efforts to broaden its funding base. This should include strengthening partnerships with private sector actors, non-governmental organizations (NGOs), civil society organizations, and development partners, alongside improved Internally Generated Fund (IGF) mobilization. Diversification of funding will enhance financial sustainability and ensure smooth implementation of the Medium-Term Development Plan (MTDP). </w:t>
      </w:r>
    </w:p>
    <w:p w14:paraId="431DC03B">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Prioritize Monitoring and Evaluation:</w:t>
      </w:r>
      <w:r>
        <w:rPr>
          <w:rFonts w:ascii="Times New Roman" w:hAnsi="Times New Roman" w:cs="Times New Roman"/>
          <w:sz w:val="24"/>
          <w:szCs w:val="24"/>
        </w:rPr>
        <w:t xml:space="preserve"> The Assembly should prioritize Monitoring and Evaluation by ensuring the timely release and dedicated allocation of funds for M&amp;E activities. Adequate resourcing will improve tracking of project implementation, enhance data quality, support performance reporting, and promote evidence-based decision-making for improved development outcomes. </w:t>
      </w:r>
    </w:p>
    <w:p w14:paraId="67646EB9">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Strengthen Public Engagement and Visibility:</w:t>
      </w:r>
      <w:r>
        <w:rPr>
          <w:rFonts w:ascii="Times New Roman" w:hAnsi="Times New Roman" w:cs="Times New Roman"/>
          <w:sz w:val="24"/>
          <w:szCs w:val="24"/>
        </w:rPr>
        <w:t xml:space="preserve"> A comprehensive communication and public engagement strategy should be developed and implemented to enhance transparency, accountability, and stakeholder participation. Improved dissemination of information on programmes and projects will build public trust, encourage community ownership of development interventions, and strengthen feedback mechanisms between the Assembly and citizens. </w:t>
      </w:r>
    </w:p>
    <w:p w14:paraId="12F8A080">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Improve Revenue Mobilization Systems:</w:t>
      </w:r>
      <w:r>
        <w:rPr>
          <w:rFonts w:ascii="Times New Roman" w:hAnsi="Times New Roman" w:cs="Times New Roman"/>
          <w:sz w:val="24"/>
          <w:szCs w:val="24"/>
        </w:rPr>
        <w:t xml:space="preserve"> The Assembly should strengthen its revenue collection systems through digitization, improved monitoring of revenue collectors, and regular stakeholder sensitization. This will reduce leakages, increase compliance, and boost Internally Generated Funds to support development activities. </w:t>
      </w:r>
    </w:p>
    <w:p w14:paraId="67321A8D">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Strengthen Capacity Building for Staff:</w:t>
      </w:r>
      <w:r>
        <w:rPr>
          <w:rFonts w:ascii="Times New Roman" w:hAnsi="Times New Roman" w:cs="Times New Roman"/>
          <w:sz w:val="24"/>
          <w:szCs w:val="24"/>
        </w:rPr>
        <w:t xml:space="preserve"> Continuous training and capacity-building programmes should be organized for staff, particularly those involved in planning, budgeting, monitoring, and social services delivery. This will enhance technical competence, improve service delivery, and ensure efficient implementation of development programmes. </w:t>
      </w:r>
    </w:p>
    <w:p w14:paraId="08317B14">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Ensure Timely Release of Statutory Funds:</w:t>
      </w:r>
      <w:r>
        <w:rPr>
          <w:rFonts w:ascii="Times New Roman" w:hAnsi="Times New Roman" w:cs="Times New Roman"/>
          <w:sz w:val="24"/>
          <w:szCs w:val="24"/>
        </w:rPr>
        <w:t xml:space="preserve"> Management should intensify engagement with central government institutions to ensure the timely release of statutory funds such as the District Assemblies Common Fund (DACF) and DACF-RFG. Predictable fund flows will improve project implementation efficiency and reduce delays in development activities. </w:t>
      </w:r>
    </w:p>
    <w:p w14:paraId="6D4B584C">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Strengthen Inter-Departmental Coordination:</w:t>
      </w:r>
      <w:r>
        <w:rPr>
          <w:rFonts w:ascii="Times New Roman" w:hAnsi="Times New Roman" w:cs="Times New Roman"/>
          <w:sz w:val="24"/>
          <w:szCs w:val="24"/>
        </w:rPr>
        <w:t xml:space="preserve"> There should be improved coordination among departments and units within the Assembly to ensure harmonized planning, implementation, and reporting. Regular coordination meetings and shared reporting frameworks will reduce duplication and improve efficiency. </w:t>
      </w:r>
    </w:p>
    <w:p w14:paraId="7E8757FD">
      <w:pPr>
        <w:numPr>
          <w:ilvl w:val="0"/>
          <w:numId w:val="29"/>
        </w:numPr>
        <w:tabs>
          <w:tab w:val="left" w:pos="1019"/>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Improve Data Management and Reporting Systems:</w:t>
      </w:r>
      <w:r>
        <w:rPr>
          <w:rFonts w:ascii="Times New Roman" w:hAnsi="Times New Roman" w:cs="Times New Roman"/>
          <w:sz w:val="24"/>
          <w:szCs w:val="24"/>
        </w:rPr>
        <w:t xml:space="preserve"> The Assembly should strengthen its data collection, storage, and reporting systems to ensure accuracy and reliability of performance data. Digital tools and standardized reporting templates should be adopted to improve the quality of M&amp;E information. </w:t>
      </w:r>
    </w:p>
    <w:p w14:paraId="3665B08B">
      <w:pPr>
        <w:tabs>
          <w:tab w:val="left" w:pos="1019"/>
        </w:tabs>
        <w:spacing w:line="360" w:lineRule="auto"/>
        <w:jc w:val="both"/>
        <w:rPr>
          <w:rFonts w:ascii="Times New Roman" w:hAnsi="Times New Roman" w:cs="Times New Roman"/>
        </w:rPr>
      </w:pPr>
      <w:r>
        <w:rPr>
          <w:rFonts w:ascii="Times New Roman" w:hAnsi="Times New Roman" w:cs="Times New Roman"/>
          <w:sz w:val="24"/>
          <w:szCs w:val="24"/>
        </w:rPr>
        <w:t>The implementation of these recommendations is expected to significantly improve project delivery, enhance service provision, strengthen institutional efficiency, and support the achievement of the District’s development objectives in a sustainable and effective manner.</w:t>
      </w: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 w:name="Helvetica 65 Medium">
    <w:altName w:val="Arial Narrow"/>
    <w:panose1 w:val="00000000000000000000"/>
    <w:charset w:val="00"/>
    <w:family w:val="roman"/>
    <w:pitch w:val="default"/>
    <w:sig w:usb0="00000000" w:usb1="00000000" w:usb2="00000000" w:usb3="00000000" w:csb0="00000000" w:csb1="00000000"/>
  </w:font>
  <w:font w:name="Arial Narrow">
    <w:panose1 w:val="020B0606020202030204"/>
    <w:charset w:val="00"/>
    <w:family w:val="auto"/>
    <w:pitch w:val="default"/>
    <w:sig w:usb0="00000287" w:usb1="00000800" w:usb2="00000000" w:usb3="00000000" w:csb0="2000009F" w:csb1="DFD70000"/>
  </w:font>
  <w:font w:name="Aptos">
    <w:altName w:val="Calibri"/>
    <w:panose1 w:val="00000000000000000000"/>
    <w:charset w:val="00"/>
    <w:family w:val="swiss"/>
    <w:pitch w:val="default"/>
    <w:sig w:usb0="00000000" w:usb1="00000000" w:usb2="00000000" w:usb3="00000000" w:csb0="0000019F" w:csb1="00000000"/>
  </w:font>
  <w:font w:name="Microsoft YaHei">
    <w:panose1 w:val="020B0503020204020204"/>
    <w:charset w:val="86"/>
    <w:family w:val="auto"/>
    <w:pitch w:val="default"/>
    <w:sig w:usb0="80000287" w:usb1="2ACF3C50" w:usb2="00000016" w:usb3="00000000" w:csb0="0004001F" w:csb1="00000000"/>
  </w:font>
  <w:font w:name="DengXian">
    <w:altName w:val="SimSun"/>
    <w:panose1 w:val="02010600030101010101"/>
    <w:charset w:val="86"/>
    <w:family w:val="auto"/>
    <w:pitch w:val="default"/>
    <w:sig w:usb0="00000000" w:usb1="00000000" w:usb2="00000016" w:usb3="00000000" w:csb0="0004000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5000" w:type="pct"/>
      <w:jc w:val="center"/>
      <w:tblLayout w:type="autofit"/>
      <w:tblCellMar>
        <w:top w:w="144" w:type="dxa"/>
        <w:left w:w="115" w:type="dxa"/>
        <w:bottom w:w="144" w:type="dxa"/>
        <w:right w:w="115" w:type="dxa"/>
      </w:tblCellMar>
    </w:tblPr>
    <w:tblGrid>
      <w:gridCol w:w="5522"/>
      <w:gridCol w:w="5508"/>
    </w:tblGrid>
    <w:tr w14:paraId="045B2626">
      <w:tblPrEx>
        <w:tblCellMar>
          <w:top w:w="144" w:type="dxa"/>
          <w:left w:w="115" w:type="dxa"/>
          <w:bottom w:w="144" w:type="dxa"/>
          <w:right w:w="115" w:type="dxa"/>
        </w:tblCellMar>
      </w:tblPrEx>
      <w:trPr>
        <w:trHeight w:val="115" w:hRule="exact"/>
        <w:jc w:val="center"/>
      </w:trPr>
      <w:tc>
        <w:tcPr>
          <w:tcW w:w="4686" w:type="dxa"/>
          <w:shd w:val="clear" w:color="auto" w:fill="5B9BD5" w:themeFill="accent1"/>
          <w:tcMar>
            <w:top w:w="0" w:type="dxa"/>
            <w:bottom w:w="0" w:type="dxa"/>
          </w:tcMar>
        </w:tcPr>
        <w:p w14:paraId="41086B9F">
          <w:pPr>
            <w:pStyle w:val="11"/>
            <w:tabs>
              <w:tab w:val="clear" w:pos="4680"/>
              <w:tab w:val="clear" w:pos="9360"/>
            </w:tabs>
            <w:rPr>
              <w:caps/>
              <w:sz w:val="18"/>
            </w:rPr>
          </w:pPr>
        </w:p>
      </w:tc>
      <w:tc>
        <w:tcPr>
          <w:tcW w:w="4674" w:type="dxa"/>
          <w:shd w:val="clear" w:color="auto" w:fill="5B9BD5" w:themeFill="accent1"/>
          <w:tcMar>
            <w:top w:w="0" w:type="dxa"/>
            <w:bottom w:w="0" w:type="dxa"/>
          </w:tcMar>
        </w:tcPr>
        <w:p w14:paraId="7B1589FA">
          <w:pPr>
            <w:pStyle w:val="11"/>
            <w:tabs>
              <w:tab w:val="clear" w:pos="4680"/>
              <w:tab w:val="clear" w:pos="9360"/>
            </w:tabs>
            <w:jc w:val="right"/>
            <w:rPr>
              <w:caps/>
              <w:sz w:val="18"/>
            </w:rPr>
          </w:pPr>
        </w:p>
      </w:tc>
    </w:tr>
    <w:tr w14:paraId="1F070667">
      <w:tblPrEx>
        <w:tblCellMar>
          <w:top w:w="144" w:type="dxa"/>
          <w:left w:w="115" w:type="dxa"/>
          <w:bottom w:w="144" w:type="dxa"/>
          <w:right w:w="115" w:type="dxa"/>
        </w:tblCellMar>
      </w:tblPrEx>
      <w:trPr>
        <w:jc w:val="center"/>
      </w:trPr>
      <w:sdt>
        <w:sdtPr>
          <w:rPr>
            <w:caps/>
            <w:color w:val="808080" w:themeColor="background1" w:themeShade="80"/>
            <w:sz w:val="18"/>
            <w:szCs w:val="18"/>
          </w:rPr>
          <w:alias w:val="Author"/>
          <w:id w:val="131683079"/>
          <w:placeholder>
            <w:docPart w:val="C9B5446D33384745B3DE52829D4FF71B"/>
          </w:placeholder>
          <w:dataBinding w:prefixMappings="xmlns:ns0='http://purl.org/dc/elements/1.1/' xmlns:ns1='http://schemas.openxmlformats.org/package/2006/metadata/core-properties' " w:xpath="/ns1:coreProperties[1]/ns0:creator[1]" w:storeItemID="{6C3C8BC8-F283-45AE-878A-BAB7291924A1}"/>
          <w:text/>
        </w:sdtPr>
        <w:sdtEndPr>
          <w:rPr>
            <w:caps/>
            <w:color w:val="808080" w:themeColor="background1" w:themeShade="80"/>
            <w:sz w:val="18"/>
            <w:szCs w:val="18"/>
          </w:rPr>
        </w:sdtEndPr>
        <w:sdtContent>
          <w:tc>
            <w:tcPr>
              <w:tcW w:w="4686" w:type="dxa"/>
              <w:vAlign w:val="center"/>
            </w:tcPr>
            <w:p w14:paraId="37D329B1">
              <w:pPr>
                <w:pStyle w:val="9"/>
                <w:tabs>
                  <w:tab w:val="clear" w:pos="4680"/>
                  <w:tab w:val="clear" w:pos="9360"/>
                </w:tabs>
                <w:rPr>
                  <w:caps/>
                  <w:color w:val="808080" w:themeColor="background1" w:themeShade="80"/>
                  <w:sz w:val="18"/>
                  <w:szCs w:val="18"/>
                </w:rPr>
              </w:pPr>
              <w:r>
                <w:rPr>
                  <w:caps/>
                  <w:color w:val="808080" w:themeColor="background1" w:themeShade="80"/>
                  <w:sz w:val="18"/>
                  <w:szCs w:val="18"/>
                </w:rPr>
                <w:t>BNDA 1ST QTR PROGRESS REPORT 2026</w:t>
              </w:r>
            </w:p>
          </w:tc>
        </w:sdtContent>
      </w:sdt>
      <w:tc>
        <w:tcPr>
          <w:tcW w:w="4674" w:type="dxa"/>
          <w:vAlign w:val="center"/>
        </w:tcPr>
        <w:p w14:paraId="3AF33362">
          <w:pPr>
            <w:pStyle w:val="9"/>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7DBD0644">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5000" w:type="pct"/>
      <w:jc w:val="center"/>
      <w:tblLayout w:type="autofit"/>
      <w:tblCellMar>
        <w:top w:w="144" w:type="dxa"/>
        <w:left w:w="115" w:type="dxa"/>
        <w:bottom w:w="144" w:type="dxa"/>
        <w:right w:w="115" w:type="dxa"/>
      </w:tblCellMar>
    </w:tblPr>
    <w:tblGrid>
      <w:gridCol w:w="5522"/>
      <w:gridCol w:w="5508"/>
    </w:tblGrid>
    <w:tr w14:paraId="64626218">
      <w:tblPrEx>
        <w:tblCellMar>
          <w:top w:w="144" w:type="dxa"/>
          <w:left w:w="115" w:type="dxa"/>
          <w:bottom w:w="144" w:type="dxa"/>
          <w:right w:w="115" w:type="dxa"/>
        </w:tblCellMar>
      </w:tblPrEx>
      <w:trPr>
        <w:trHeight w:val="115" w:hRule="exact"/>
        <w:jc w:val="center"/>
      </w:trPr>
      <w:tc>
        <w:tcPr>
          <w:tcW w:w="4686" w:type="dxa"/>
          <w:shd w:val="clear" w:color="auto" w:fill="5B9BD5" w:themeFill="accent1"/>
          <w:tcMar>
            <w:top w:w="0" w:type="dxa"/>
            <w:bottom w:w="0" w:type="dxa"/>
          </w:tcMar>
        </w:tcPr>
        <w:p w14:paraId="5063E673">
          <w:pPr>
            <w:pStyle w:val="11"/>
            <w:tabs>
              <w:tab w:val="clear" w:pos="4680"/>
              <w:tab w:val="clear" w:pos="9360"/>
            </w:tabs>
            <w:rPr>
              <w:caps/>
              <w:sz w:val="18"/>
            </w:rPr>
          </w:pPr>
        </w:p>
      </w:tc>
      <w:tc>
        <w:tcPr>
          <w:tcW w:w="4674" w:type="dxa"/>
          <w:shd w:val="clear" w:color="auto" w:fill="5B9BD5" w:themeFill="accent1"/>
          <w:tcMar>
            <w:top w:w="0" w:type="dxa"/>
            <w:bottom w:w="0" w:type="dxa"/>
          </w:tcMar>
        </w:tcPr>
        <w:p w14:paraId="238C9CA6">
          <w:pPr>
            <w:pStyle w:val="11"/>
            <w:tabs>
              <w:tab w:val="clear" w:pos="4680"/>
              <w:tab w:val="clear" w:pos="9360"/>
            </w:tabs>
            <w:jc w:val="right"/>
            <w:rPr>
              <w:caps/>
              <w:sz w:val="18"/>
            </w:rPr>
          </w:pPr>
        </w:p>
      </w:tc>
    </w:tr>
    <w:tr w14:paraId="664C375F">
      <w:tblPrEx>
        <w:tblCellMar>
          <w:top w:w="144" w:type="dxa"/>
          <w:left w:w="115" w:type="dxa"/>
          <w:bottom w:w="144" w:type="dxa"/>
          <w:right w:w="115" w:type="dxa"/>
        </w:tblCellMar>
      </w:tblPrEx>
      <w:trPr>
        <w:jc w:val="center"/>
      </w:trPr>
      <w:sdt>
        <w:sdtPr>
          <w:rPr>
            <w:caps/>
            <w:color w:val="808080" w:themeColor="background1" w:themeShade="80"/>
            <w:sz w:val="18"/>
            <w:szCs w:val="18"/>
          </w:rPr>
          <w:alias w:val="Author"/>
          <w:id w:val="1534151868"/>
          <w:placeholder>
            <w:docPart w:val="BC16A3DF73024C5696AE76A0F50005CB"/>
          </w:placeholder>
          <w:dataBinding w:prefixMappings="xmlns:ns0='http://purl.org/dc/elements/1.1/' xmlns:ns1='http://schemas.openxmlformats.org/package/2006/metadata/core-properties' " w:xpath="/ns1:coreProperties[1]/ns0:creator[1]" w:storeItemID="{6C3C8BC8-F283-45AE-878A-BAB7291924A1}"/>
          <w:text/>
        </w:sdtPr>
        <w:sdtEndPr>
          <w:rPr>
            <w:caps/>
            <w:color w:val="808080" w:themeColor="background1" w:themeShade="80"/>
            <w:sz w:val="18"/>
            <w:szCs w:val="18"/>
          </w:rPr>
        </w:sdtEndPr>
        <w:sdtContent>
          <w:tc>
            <w:tcPr>
              <w:tcW w:w="4686" w:type="dxa"/>
              <w:vAlign w:val="center"/>
            </w:tcPr>
            <w:p w14:paraId="2D5A3219">
              <w:pPr>
                <w:pStyle w:val="9"/>
                <w:tabs>
                  <w:tab w:val="clear" w:pos="4680"/>
                  <w:tab w:val="clear" w:pos="9360"/>
                </w:tabs>
                <w:rPr>
                  <w:caps/>
                  <w:color w:val="808080" w:themeColor="background1" w:themeShade="80"/>
                  <w:sz w:val="18"/>
                  <w:szCs w:val="18"/>
                </w:rPr>
              </w:pPr>
              <w:r>
                <w:rPr>
                  <w:caps/>
                  <w:color w:val="808080" w:themeColor="background1" w:themeShade="80"/>
                  <w:sz w:val="18"/>
                  <w:szCs w:val="18"/>
                </w:rPr>
                <w:t>BNDA 1ST QTR PROGRESS REPORT</w:t>
              </w:r>
              <w:r>
                <w:rPr>
                  <w:caps/>
                  <w:color w:val="808080" w:themeColor="background1" w:themeShade="80"/>
                  <w:sz w:val="18"/>
                  <w:szCs w:val="18"/>
                  <w:lang w:val="zh-CN"/>
                </w:rPr>
                <w:t xml:space="preserve"> 2026</w:t>
              </w:r>
            </w:p>
          </w:tc>
        </w:sdtContent>
      </w:sdt>
      <w:tc>
        <w:tcPr>
          <w:tcW w:w="4674" w:type="dxa"/>
          <w:vAlign w:val="center"/>
        </w:tcPr>
        <w:p w14:paraId="7840BAD3">
          <w:pPr>
            <w:pStyle w:val="9"/>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4D2296A8">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4ABA3CC3"/>
    <w:p w14:paraId="65B9DDDA">
      <w:pPr>
        <w:pStyle w:val="1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A5AE6"/>
    <w:multiLevelType w:val="multilevel"/>
    <w:tmpl w:val="0BDA5AE6"/>
    <w:lvl w:ilvl="0" w:tentative="0">
      <w:start w:val="1"/>
      <w:numFmt w:val="decimal"/>
      <w:lvlText w:val="%1."/>
      <w:lvlJc w:val="left"/>
      <w:pPr>
        <w:ind w:left="502" w:hanging="360"/>
      </w:pPr>
      <w:rPr>
        <w:b/>
      </w:rPr>
    </w:lvl>
    <w:lvl w:ilvl="1" w:tentative="0">
      <w:start w:val="1"/>
      <w:numFmt w:val="lowerLetter"/>
      <w:lvlText w:val="%2."/>
      <w:lvlJc w:val="left"/>
      <w:pPr>
        <w:ind w:left="1132" w:hanging="360"/>
      </w:pPr>
    </w:lvl>
    <w:lvl w:ilvl="2" w:tentative="0">
      <w:start w:val="1"/>
      <w:numFmt w:val="lowerRoman"/>
      <w:lvlText w:val="%3."/>
      <w:lvlJc w:val="right"/>
      <w:pPr>
        <w:ind w:left="1852" w:hanging="180"/>
      </w:pPr>
    </w:lvl>
    <w:lvl w:ilvl="3" w:tentative="0">
      <w:start w:val="1"/>
      <w:numFmt w:val="decimal"/>
      <w:lvlText w:val="%4."/>
      <w:lvlJc w:val="left"/>
      <w:pPr>
        <w:ind w:left="2572" w:hanging="360"/>
      </w:pPr>
    </w:lvl>
    <w:lvl w:ilvl="4" w:tentative="0">
      <w:start w:val="1"/>
      <w:numFmt w:val="lowerLetter"/>
      <w:lvlText w:val="%5."/>
      <w:lvlJc w:val="left"/>
      <w:pPr>
        <w:ind w:left="3292" w:hanging="360"/>
      </w:pPr>
    </w:lvl>
    <w:lvl w:ilvl="5" w:tentative="0">
      <w:start w:val="1"/>
      <w:numFmt w:val="lowerRoman"/>
      <w:lvlText w:val="%6."/>
      <w:lvlJc w:val="right"/>
      <w:pPr>
        <w:ind w:left="4012" w:hanging="180"/>
      </w:pPr>
    </w:lvl>
    <w:lvl w:ilvl="6" w:tentative="0">
      <w:start w:val="1"/>
      <w:numFmt w:val="decimal"/>
      <w:lvlText w:val="%7."/>
      <w:lvlJc w:val="left"/>
      <w:pPr>
        <w:ind w:left="4732" w:hanging="360"/>
      </w:pPr>
    </w:lvl>
    <w:lvl w:ilvl="7" w:tentative="0">
      <w:start w:val="1"/>
      <w:numFmt w:val="lowerLetter"/>
      <w:lvlText w:val="%8."/>
      <w:lvlJc w:val="left"/>
      <w:pPr>
        <w:ind w:left="5452" w:hanging="360"/>
      </w:pPr>
    </w:lvl>
    <w:lvl w:ilvl="8" w:tentative="0">
      <w:start w:val="1"/>
      <w:numFmt w:val="lowerRoman"/>
      <w:lvlText w:val="%9."/>
      <w:lvlJc w:val="right"/>
      <w:pPr>
        <w:ind w:left="6172" w:hanging="180"/>
      </w:pPr>
    </w:lvl>
  </w:abstractNum>
  <w:abstractNum w:abstractNumId="1">
    <w:nsid w:val="0C497A64"/>
    <w:multiLevelType w:val="multilevel"/>
    <w:tmpl w:val="0C497A64"/>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E8B1456"/>
    <w:multiLevelType w:val="multilevel"/>
    <w:tmpl w:val="0E8B1456"/>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2241016"/>
    <w:multiLevelType w:val="multilevel"/>
    <w:tmpl w:val="12241016"/>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14900356"/>
    <w:multiLevelType w:val="multilevel"/>
    <w:tmpl w:val="1490035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7194400"/>
    <w:multiLevelType w:val="multilevel"/>
    <w:tmpl w:val="1719440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E50198D"/>
    <w:multiLevelType w:val="multilevel"/>
    <w:tmpl w:val="1E50198D"/>
    <w:lvl w:ilvl="0" w:tentative="0">
      <w:start w:val="1"/>
      <w:numFmt w:val="lowerRoman"/>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1EC64B5A"/>
    <w:multiLevelType w:val="multilevel"/>
    <w:tmpl w:val="1EC64B5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FEA6E5B"/>
    <w:multiLevelType w:val="multilevel"/>
    <w:tmpl w:val="2FEA6E5B"/>
    <w:lvl w:ilvl="0" w:tentative="0">
      <w:start w:val="1"/>
      <w:numFmt w:val="decimal"/>
      <w:lvlText w:val="%1."/>
      <w:lvlJc w:val="left"/>
      <w:pPr>
        <w:ind w:left="45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3018330B"/>
    <w:multiLevelType w:val="multilevel"/>
    <w:tmpl w:val="3018330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16767E7"/>
    <w:multiLevelType w:val="multilevel"/>
    <w:tmpl w:val="316767E7"/>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5EA1857"/>
    <w:multiLevelType w:val="multilevel"/>
    <w:tmpl w:val="35EA185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3E2C6E22"/>
    <w:multiLevelType w:val="multilevel"/>
    <w:tmpl w:val="3E2C6E22"/>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3">
    <w:nsid w:val="420171A8"/>
    <w:multiLevelType w:val="multilevel"/>
    <w:tmpl w:val="420171A8"/>
    <w:lvl w:ilvl="0" w:tentative="0">
      <w:start w:val="1"/>
      <w:numFmt w:val="decimal"/>
      <w:lvlText w:val="%1."/>
      <w:lvlJc w:val="left"/>
      <w:pPr>
        <w:ind w:left="360" w:hanging="360"/>
      </w:pPr>
      <w:rPr>
        <w:rFonts w:hint="default"/>
      </w:rPr>
    </w:lvl>
    <w:lvl w:ilvl="1" w:tentative="0">
      <w:start w:val="4"/>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5"/>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4">
    <w:nsid w:val="542A1A0F"/>
    <w:multiLevelType w:val="multilevel"/>
    <w:tmpl w:val="542A1A0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47259F4"/>
    <w:multiLevelType w:val="multilevel"/>
    <w:tmpl w:val="547259F4"/>
    <w:lvl w:ilvl="0" w:tentative="0">
      <w:start w:val="1"/>
      <w:numFmt w:val="lowerLetter"/>
      <w:lvlText w:val="%1."/>
      <w:lvlJc w:val="left"/>
      <w:pPr>
        <w:ind w:left="502" w:hanging="360"/>
      </w:pPr>
      <w:rPr>
        <w:b/>
        <w:color w:val="auto"/>
      </w:r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6">
    <w:nsid w:val="5475528A"/>
    <w:multiLevelType w:val="multilevel"/>
    <w:tmpl w:val="5475528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7E53F68"/>
    <w:multiLevelType w:val="multilevel"/>
    <w:tmpl w:val="57E53F68"/>
    <w:lvl w:ilvl="0" w:tentative="0">
      <w:start w:val="1"/>
      <w:numFmt w:val="decimal"/>
      <w:lvlText w:val="%1."/>
      <w:lvlJc w:val="left"/>
      <w:pPr>
        <w:ind w:left="786"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8">
    <w:nsid w:val="5AD55DBA"/>
    <w:multiLevelType w:val="multilevel"/>
    <w:tmpl w:val="5AD55DBA"/>
    <w:lvl w:ilvl="0" w:tentative="0">
      <w:start w:val="1"/>
      <w:numFmt w:val="lowerLetter"/>
      <w:lvlText w:val="%1."/>
      <w:lvlJc w:val="left"/>
      <w:pPr>
        <w:ind w:left="360" w:hanging="360"/>
      </w:pPr>
      <w:rPr>
        <w:b/>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EC92055"/>
    <w:multiLevelType w:val="multilevel"/>
    <w:tmpl w:val="5EC92055"/>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084697F"/>
    <w:multiLevelType w:val="multilevel"/>
    <w:tmpl w:val="6084697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64734D1D"/>
    <w:multiLevelType w:val="multilevel"/>
    <w:tmpl w:val="64734D1D"/>
    <w:lvl w:ilvl="0" w:tentative="0">
      <w:start w:val="1"/>
      <w:numFmt w:val="lowerRoman"/>
      <w:lvlText w:val="%1."/>
      <w:lvlJc w:val="right"/>
      <w:pPr>
        <w:ind w:left="502"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4AD14FD"/>
    <w:multiLevelType w:val="multilevel"/>
    <w:tmpl w:val="64AD14FD"/>
    <w:lvl w:ilvl="0" w:tentative="0">
      <w:start w:val="1"/>
      <w:numFmt w:val="decimal"/>
      <w:lvlText w:val="%1."/>
      <w:lvlJc w:val="left"/>
      <w:pPr>
        <w:ind w:left="36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6571703E"/>
    <w:multiLevelType w:val="multilevel"/>
    <w:tmpl w:val="6571703E"/>
    <w:lvl w:ilvl="0" w:tentative="0">
      <w:start w:val="1"/>
      <w:numFmt w:val="lowerLetter"/>
      <w:lvlText w:val="%1."/>
      <w:lvlJc w:val="left"/>
      <w:pPr>
        <w:ind w:left="360" w:hanging="360"/>
      </w:pPr>
      <w:rPr>
        <w:b/>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4">
    <w:nsid w:val="6BF97594"/>
    <w:multiLevelType w:val="multilevel"/>
    <w:tmpl w:val="6BF9759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719F36C5"/>
    <w:multiLevelType w:val="multilevel"/>
    <w:tmpl w:val="719F36C5"/>
    <w:lvl w:ilvl="0" w:tentative="0">
      <w:start w:val="1"/>
      <w:numFmt w:val="lowerRoman"/>
      <w:lvlText w:val="%1."/>
      <w:lvlJc w:val="right"/>
      <w:pPr>
        <w:ind w:left="36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763A5FA7"/>
    <w:multiLevelType w:val="multilevel"/>
    <w:tmpl w:val="763A5FA7"/>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7C3D74DB"/>
    <w:multiLevelType w:val="multilevel"/>
    <w:tmpl w:val="7C3D74DB"/>
    <w:lvl w:ilvl="0" w:tentative="0">
      <w:start w:val="1"/>
      <w:numFmt w:val="decimal"/>
      <w:lvlText w:val="%1."/>
      <w:lvlJc w:val="left"/>
      <w:pPr>
        <w:ind w:left="45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7CCC636A"/>
    <w:multiLevelType w:val="multilevel"/>
    <w:tmpl w:val="7CCC636A"/>
    <w:lvl w:ilvl="0" w:tentative="0">
      <w:start w:val="1"/>
      <w:numFmt w:val="lowerRoman"/>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3"/>
  </w:num>
  <w:num w:numId="2">
    <w:abstractNumId w:val="15"/>
  </w:num>
  <w:num w:numId="3">
    <w:abstractNumId w:val="0"/>
  </w:num>
  <w:num w:numId="4">
    <w:abstractNumId w:val="8"/>
  </w:num>
  <w:num w:numId="5">
    <w:abstractNumId w:val="13"/>
  </w:num>
  <w:num w:numId="6">
    <w:abstractNumId w:val="1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7"/>
  </w:num>
  <w:num w:numId="14">
    <w:abstractNumId w:val="26"/>
  </w:num>
  <w:num w:numId="15">
    <w:abstractNumId w:val="5"/>
  </w:num>
  <w:num w:numId="16">
    <w:abstractNumId w:val="4"/>
  </w:num>
  <w:num w:numId="17">
    <w:abstractNumId w:val="28"/>
  </w:num>
  <w:num w:numId="18">
    <w:abstractNumId w:val="21"/>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9"/>
  </w:num>
  <w:num w:numId="23">
    <w:abstractNumId w:val="6"/>
  </w:num>
  <w:num w:numId="24">
    <w:abstractNumId w:val="3"/>
  </w:num>
  <w:num w:numId="25">
    <w:abstractNumId w:val="10"/>
  </w:num>
  <w:num w:numId="26">
    <w:abstractNumId w:val="20"/>
  </w:num>
  <w:num w:numId="27">
    <w:abstractNumId w:val="1"/>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5AE"/>
    <w:rsid w:val="00007F94"/>
    <w:rsid w:val="000104D4"/>
    <w:rsid w:val="00014C87"/>
    <w:rsid w:val="00016155"/>
    <w:rsid w:val="00020103"/>
    <w:rsid w:val="000216A1"/>
    <w:rsid w:val="00023210"/>
    <w:rsid w:val="00024DD8"/>
    <w:rsid w:val="000269AD"/>
    <w:rsid w:val="00030CE6"/>
    <w:rsid w:val="000312F8"/>
    <w:rsid w:val="00033CC5"/>
    <w:rsid w:val="00035F6D"/>
    <w:rsid w:val="000378A7"/>
    <w:rsid w:val="00041438"/>
    <w:rsid w:val="00042681"/>
    <w:rsid w:val="000476EE"/>
    <w:rsid w:val="0005002F"/>
    <w:rsid w:val="0005363F"/>
    <w:rsid w:val="000619F6"/>
    <w:rsid w:val="00062A72"/>
    <w:rsid w:val="000671BB"/>
    <w:rsid w:val="00072460"/>
    <w:rsid w:val="00081161"/>
    <w:rsid w:val="000828AA"/>
    <w:rsid w:val="00091589"/>
    <w:rsid w:val="00091FE8"/>
    <w:rsid w:val="000A193E"/>
    <w:rsid w:val="000A1D22"/>
    <w:rsid w:val="000A2A7B"/>
    <w:rsid w:val="000A2EA2"/>
    <w:rsid w:val="000A68D3"/>
    <w:rsid w:val="000B57DE"/>
    <w:rsid w:val="000B7092"/>
    <w:rsid w:val="000C0786"/>
    <w:rsid w:val="000C14AC"/>
    <w:rsid w:val="000C22F8"/>
    <w:rsid w:val="000D2339"/>
    <w:rsid w:val="000D2A12"/>
    <w:rsid w:val="000D6774"/>
    <w:rsid w:val="000D6F64"/>
    <w:rsid w:val="000E44AF"/>
    <w:rsid w:val="000E530E"/>
    <w:rsid w:val="000E5F7D"/>
    <w:rsid w:val="000E65F8"/>
    <w:rsid w:val="000F0CA4"/>
    <w:rsid w:val="000F20E9"/>
    <w:rsid w:val="000F6D96"/>
    <w:rsid w:val="00100D16"/>
    <w:rsid w:val="00105E76"/>
    <w:rsid w:val="0010669F"/>
    <w:rsid w:val="00113D9B"/>
    <w:rsid w:val="00115213"/>
    <w:rsid w:val="00115F19"/>
    <w:rsid w:val="001226DD"/>
    <w:rsid w:val="00130058"/>
    <w:rsid w:val="00130A41"/>
    <w:rsid w:val="0013276D"/>
    <w:rsid w:val="0013508E"/>
    <w:rsid w:val="0014013C"/>
    <w:rsid w:val="00141556"/>
    <w:rsid w:val="00143FEB"/>
    <w:rsid w:val="00144492"/>
    <w:rsid w:val="0015089F"/>
    <w:rsid w:val="00151D05"/>
    <w:rsid w:val="00152034"/>
    <w:rsid w:val="00152062"/>
    <w:rsid w:val="0015462E"/>
    <w:rsid w:val="0015566A"/>
    <w:rsid w:val="00156E45"/>
    <w:rsid w:val="0016136D"/>
    <w:rsid w:val="00161DC2"/>
    <w:rsid w:val="00163A25"/>
    <w:rsid w:val="00165DDD"/>
    <w:rsid w:val="00167D09"/>
    <w:rsid w:val="0017254B"/>
    <w:rsid w:val="00172EB9"/>
    <w:rsid w:val="00173CAB"/>
    <w:rsid w:val="00173FC8"/>
    <w:rsid w:val="001A0AEC"/>
    <w:rsid w:val="001A1249"/>
    <w:rsid w:val="001A4E11"/>
    <w:rsid w:val="001A57D6"/>
    <w:rsid w:val="001B0FED"/>
    <w:rsid w:val="001B727F"/>
    <w:rsid w:val="001B7AE4"/>
    <w:rsid w:val="001C14F6"/>
    <w:rsid w:val="001C1504"/>
    <w:rsid w:val="001C43E5"/>
    <w:rsid w:val="001C45F8"/>
    <w:rsid w:val="001D02B2"/>
    <w:rsid w:val="001D08FF"/>
    <w:rsid w:val="001D1341"/>
    <w:rsid w:val="001D1DEC"/>
    <w:rsid w:val="001D637E"/>
    <w:rsid w:val="001D6884"/>
    <w:rsid w:val="001D7A58"/>
    <w:rsid w:val="001D7F36"/>
    <w:rsid w:val="001E52FD"/>
    <w:rsid w:val="001F39D2"/>
    <w:rsid w:val="002066B6"/>
    <w:rsid w:val="00206AF5"/>
    <w:rsid w:val="00213EA3"/>
    <w:rsid w:val="0021628A"/>
    <w:rsid w:val="00216DD2"/>
    <w:rsid w:val="002173AA"/>
    <w:rsid w:val="00224F95"/>
    <w:rsid w:val="0022605D"/>
    <w:rsid w:val="00235F23"/>
    <w:rsid w:val="00237C09"/>
    <w:rsid w:val="00241FA6"/>
    <w:rsid w:val="00242820"/>
    <w:rsid w:val="0024548A"/>
    <w:rsid w:val="00257D55"/>
    <w:rsid w:val="00260CE4"/>
    <w:rsid w:val="0026495A"/>
    <w:rsid w:val="00265217"/>
    <w:rsid w:val="00270296"/>
    <w:rsid w:val="00274A90"/>
    <w:rsid w:val="00274CE7"/>
    <w:rsid w:val="0028141E"/>
    <w:rsid w:val="002818A8"/>
    <w:rsid w:val="002903B3"/>
    <w:rsid w:val="0029280F"/>
    <w:rsid w:val="0029474E"/>
    <w:rsid w:val="00296FDE"/>
    <w:rsid w:val="002A03D0"/>
    <w:rsid w:val="002A0C91"/>
    <w:rsid w:val="002B23D1"/>
    <w:rsid w:val="002B3997"/>
    <w:rsid w:val="002B3BC1"/>
    <w:rsid w:val="002B5E71"/>
    <w:rsid w:val="002B60C1"/>
    <w:rsid w:val="002B7EAB"/>
    <w:rsid w:val="002C5318"/>
    <w:rsid w:val="002D00DB"/>
    <w:rsid w:val="002D095E"/>
    <w:rsid w:val="002D0A29"/>
    <w:rsid w:val="002D374F"/>
    <w:rsid w:val="002D7BEE"/>
    <w:rsid w:val="002E11F2"/>
    <w:rsid w:val="002E148D"/>
    <w:rsid w:val="002E47AE"/>
    <w:rsid w:val="002E6950"/>
    <w:rsid w:val="002F23D2"/>
    <w:rsid w:val="002F3E73"/>
    <w:rsid w:val="002F6DDD"/>
    <w:rsid w:val="00301AB7"/>
    <w:rsid w:val="00301B74"/>
    <w:rsid w:val="00305CA5"/>
    <w:rsid w:val="00307F42"/>
    <w:rsid w:val="00307F57"/>
    <w:rsid w:val="00315EE3"/>
    <w:rsid w:val="003224BF"/>
    <w:rsid w:val="00324844"/>
    <w:rsid w:val="0032678D"/>
    <w:rsid w:val="00330485"/>
    <w:rsid w:val="00331654"/>
    <w:rsid w:val="003337F2"/>
    <w:rsid w:val="003342BE"/>
    <w:rsid w:val="0034265A"/>
    <w:rsid w:val="003468A9"/>
    <w:rsid w:val="003533A9"/>
    <w:rsid w:val="0035622E"/>
    <w:rsid w:val="00362C86"/>
    <w:rsid w:val="00365D1F"/>
    <w:rsid w:val="00367405"/>
    <w:rsid w:val="00367F04"/>
    <w:rsid w:val="00371A48"/>
    <w:rsid w:val="003733AC"/>
    <w:rsid w:val="00376F80"/>
    <w:rsid w:val="00377E4F"/>
    <w:rsid w:val="00383737"/>
    <w:rsid w:val="0039001D"/>
    <w:rsid w:val="00391610"/>
    <w:rsid w:val="003A38CC"/>
    <w:rsid w:val="003B1F7E"/>
    <w:rsid w:val="003B487E"/>
    <w:rsid w:val="003B5076"/>
    <w:rsid w:val="003B579A"/>
    <w:rsid w:val="003B6DB5"/>
    <w:rsid w:val="003B76C2"/>
    <w:rsid w:val="003C1873"/>
    <w:rsid w:val="003C2464"/>
    <w:rsid w:val="003C34B6"/>
    <w:rsid w:val="003C4778"/>
    <w:rsid w:val="003D13DB"/>
    <w:rsid w:val="003D19B0"/>
    <w:rsid w:val="003D7B6F"/>
    <w:rsid w:val="003E0D26"/>
    <w:rsid w:val="003E5C38"/>
    <w:rsid w:val="003E71F6"/>
    <w:rsid w:val="003F1F6B"/>
    <w:rsid w:val="003F648B"/>
    <w:rsid w:val="004004E5"/>
    <w:rsid w:val="00403363"/>
    <w:rsid w:val="00403E59"/>
    <w:rsid w:val="0040646B"/>
    <w:rsid w:val="00410760"/>
    <w:rsid w:val="00415B1F"/>
    <w:rsid w:val="0041768A"/>
    <w:rsid w:val="004177E3"/>
    <w:rsid w:val="004240BE"/>
    <w:rsid w:val="004258DC"/>
    <w:rsid w:val="004305AE"/>
    <w:rsid w:val="00430EE5"/>
    <w:rsid w:val="00431589"/>
    <w:rsid w:val="00431956"/>
    <w:rsid w:val="004335D3"/>
    <w:rsid w:val="00434762"/>
    <w:rsid w:val="0044705A"/>
    <w:rsid w:val="004477D3"/>
    <w:rsid w:val="00447FD5"/>
    <w:rsid w:val="00456115"/>
    <w:rsid w:val="004568B4"/>
    <w:rsid w:val="004644D8"/>
    <w:rsid w:val="00464513"/>
    <w:rsid w:val="00464769"/>
    <w:rsid w:val="00466F0D"/>
    <w:rsid w:val="00466FE6"/>
    <w:rsid w:val="00472196"/>
    <w:rsid w:val="0047479D"/>
    <w:rsid w:val="004756FE"/>
    <w:rsid w:val="00480C61"/>
    <w:rsid w:val="00482441"/>
    <w:rsid w:val="0048295B"/>
    <w:rsid w:val="0048363E"/>
    <w:rsid w:val="00483FC0"/>
    <w:rsid w:val="00484BEF"/>
    <w:rsid w:val="00486587"/>
    <w:rsid w:val="0048741F"/>
    <w:rsid w:val="004A21AF"/>
    <w:rsid w:val="004B019E"/>
    <w:rsid w:val="004B178B"/>
    <w:rsid w:val="004B50E3"/>
    <w:rsid w:val="004B5C15"/>
    <w:rsid w:val="004B6527"/>
    <w:rsid w:val="004C1BD8"/>
    <w:rsid w:val="004C32FD"/>
    <w:rsid w:val="004C35B6"/>
    <w:rsid w:val="004C3A57"/>
    <w:rsid w:val="004C62F7"/>
    <w:rsid w:val="004C68FB"/>
    <w:rsid w:val="004D115B"/>
    <w:rsid w:val="004D1C49"/>
    <w:rsid w:val="004D1C5F"/>
    <w:rsid w:val="004D21BF"/>
    <w:rsid w:val="004D6816"/>
    <w:rsid w:val="004E08D5"/>
    <w:rsid w:val="004E2FD0"/>
    <w:rsid w:val="004E3505"/>
    <w:rsid w:val="004E632D"/>
    <w:rsid w:val="004E7CED"/>
    <w:rsid w:val="004E7FA5"/>
    <w:rsid w:val="004F098E"/>
    <w:rsid w:val="005002A9"/>
    <w:rsid w:val="00502064"/>
    <w:rsid w:val="00502883"/>
    <w:rsid w:val="00504899"/>
    <w:rsid w:val="0050675C"/>
    <w:rsid w:val="00511521"/>
    <w:rsid w:val="00515287"/>
    <w:rsid w:val="00516D84"/>
    <w:rsid w:val="00517659"/>
    <w:rsid w:val="005301E2"/>
    <w:rsid w:val="00530DD7"/>
    <w:rsid w:val="005340E8"/>
    <w:rsid w:val="005400F4"/>
    <w:rsid w:val="005415A5"/>
    <w:rsid w:val="0054418B"/>
    <w:rsid w:val="005446D9"/>
    <w:rsid w:val="0054518A"/>
    <w:rsid w:val="00547817"/>
    <w:rsid w:val="00552C25"/>
    <w:rsid w:val="0055335B"/>
    <w:rsid w:val="005533DA"/>
    <w:rsid w:val="005540E4"/>
    <w:rsid w:val="00557074"/>
    <w:rsid w:val="005571E2"/>
    <w:rsid w:val="00562A3C"/>
    <w:rsid w:val="005632DD"/>
    <w:rsid w:val="00564376"/>
    <w:rsid w:val="005654D8"/>
    <w:rsid w:val="00572765"/>
    <w:rsid w:val="005736A2"/>
    <w:rsid w:val="00584D45"/>
    <w:rsid w:val="00590A63"/>
    <w:rsid w:val="005923B9"/>
    <w:rsid w:val="00596915"/>
    <w:rsid w:val="005A524B"/>
    <w:rsid w:val="005A7B9B"/>
    <w:rsid w:val="005A7D2A"/>
    <w:rsid w:val="005B3EB4"/>
    <w:rsid w:val="005B5ACE"/>
    <w:rsid w:val="005B70E8"/>
    <w:rsid w:val="005B7FB6"/>
    <w:rsid w:val="005C13E3"/>
    <w:rsid w:val="005C15BC"/>
    <w:rsid w:val="005C3080"/>
    <w:rsid w:val="005C3AB3"/>
    <w:rsid w:val="005C5075"/>
    <w:rsid w:val="005C62FD"/>
    <w:rsid w:val="005D030F"/>
    <w:rsid w:val="005D0A18"/>
    <w:rsid w:val="005D11C7"/>
    <w:rsid w:val="005D3143"/>
    <w:rsid w:val="005D4C25"/>
    <w:rsid w:val="005D5549"/>
    <w:rsid w:val="005D5861"/>
    <w:rsid w:val="005E1D6A"/>
    <w:rsid w:val="005F28C5"/>
    <w:rsid w:val="005F5890"/>
    <w:rsid w:val="005F5ED5"/>
    <w:rsid w:val="005F6101"/>
    <w:rsid w:val="005F7FDB"/>
    <w:rsid w:val="00600800"/>
    <w:rsid w:val="006017D2"/>
    <w:rsid w:val="006027BA"/>
    <w:rsid w:val="00604DD8"/>
    <w:rsid w:val="00607350"/>
    <w:rsid w:val="00607E6F"/>
    <w:rsid w:val="006164F3"/>
    <w:rsid w:val="00617062"/>
    <w:rsid w:val="00617F9F"/>
    <w:rsid w:val="00621915"/>
    <w:rsid w:val="00630032"/>
    <w:rsid w:val="00630D1E"/>
    <w:rsid w:val="0063211D"/>
    <w:rsid w:val="00646D10"/>
    <w:rsid w:val="00647B25"/>
    <w:rsid w:val="00651E2F"/>
    <w:rsid w:val="00653587"/>
    <w:rsid w:val="006603AE"/>
    <w:rsid w:val="00661BC8"/>
    <w:rsid w:val="00663C14"/>
    <w:rsid w:val="006645BB"/>
    <w:rsid w:val="00665000"/>
    <w:rsid w:val="00667E49"/>
    <w:rsid w:val="006702ED"/>
    <w:rsid w:val="00673883"/>
    <w:rsid w:val="00674356"/>
    <w:rsid w:val="00681DC5"/>
    <w:rsid w:val="0068238D"/>
    <w:rsid w:val="00687013"/>
    <w:rsid w:val="00696C78"/>
    <w:rsid w:val="006A0C2B"/>
    <w:rsid w:val="006A143F"/>
    <w:rsid w:val="006A24B5"/>
    <w:rsid w:val="006A2F8B"/>
    <w:rsid w:val="006A55B5"/>
    <w:rsid w:val="006A6CB0"/>
    <w:rsid w:val="006B314E"/>
    <w:rsid w:val="006C236E"/>
    <w:rsid w:val="006C2E8C"/>
    <w:rsid w:val="006C3BDB"/>
    <w:rsid w:val="006C4BEE"/>
    <w:rsid w:val="006C5FEE"/>
    <w:rsid w:val="006C6C11"/>
    <w:rsid w:val="006D1CF8"/>
    <w:rsid w:val="006D35A3"/>
    <w:rsid w:val="006D6BFA"/>
    <w:rsid w:val="006E35D5"/>
    <w:rsid w:val="006E4F08"/>
    <w:rsid w:val="006F0A21"/>
    <w:rsid w:val="006F15D2"/>
    <w:rsid w:val="006F1CE9"/>
    <w:rsid w:val="006F40DC"/>
    <w:rsid w:val="006F6767"/>
    <w:rsid w:val="006F7EC0"/>
    <w:rsid w:val="00702C00"/>
    <w:rsid w:val="00705A52"/>
    <w:rsid w:val="00710D84"/>
    <w:rsid w:val="007157C0"/>
    <w:rsid w:val="00720DE3"/>
    <w:rsid w:val="00725607"/>
    <w:rsid w:val="00727202"/>
    <w:rsid w:val="007277AA"/>
    <w:rsid w:val="00731DAB"/>
    <w:rsid w:val="00732F72"/>
    <w:rsid w:val="00737140"/>
    <w:rsid w:val="007421FC"/>
    <w:rsid w:val="00743CCA"/>
    <w:rsid w:val="00747131"/>
    <w:rsid w:val="007507E6"/>
    <w:rsid w:val="00756127"/>
    <w:rsid w:val="0075753B"/>
    <w:rsid w:val="00775332"/>
    <w:rsid w:val="00775D8C"/>
    <w:rsid w:val="00784DA9"/>
    <w:rsid w:val="007919D8"/>
    <w:rsid w:val="0079296D"/>
    <w:rsid w:val="00793177"/>
    <w:rsid w:val="0079606C"/>
    <w:rsid w:val="00797D91"/>
    <w:rsid w:val="007A05CF"/>
    <w:rsid w:val="007A5C10"/>
    <w:rsid w:val="007A7AFE"/>
    <w:rsid w:val="007B023D"/>
    <w:rsid w:val="007C1F78"/>
    <w:rsid w:val="007D20B3"/>
    <w:rsid w:val="007D257C"/>
    <w:rsid w:val="007E086C"/>
    <w:rsid w:val="007E3A6E"/>
    <w:rsid w:val="007E46BF"/>
    <w:rsid w:val="007E46C8"/>
    <w:rsid w:val="007E4E9D"/>
    <w:rsid w:val="007F0A40"/>
    <w:rsid w:val="007F30B7"/>
    <w:rsid w:val="007F37E9"/>
    <w:rsid w:val="007F3B6B"/>
    <w:rsid w:val="007F3CCF"/>
    <w:rsid w:val="007F4333"/>
    <w:rsid w:val="00802120"/>
    <w:rsid w:val="008059A9"/>
    <w:rsid w:val="00814159"/>
    <w:rsid w:val="00814C20"/>
    <w:rsid w:val="00815FEB"/>
    <w:rsid w:val="008212EC"/>
    <w:rsid w:val="008218E8"/>
    <w:rsid w:val="00821F8D"/>
    <w:rsid w:val="00824956"/>
    <w:rsid w:val="00826ED7"/>
    <w:rsid w:val="008274EC"/>
    <w:rsid w:val="00837450"/>
    <w:rsid w:val="008408CF"/>
    <w:rsid w:val="008409A6"/>
    <w:rsid w:val="00846140"/>
    <w:rsid w:val="0085142F"/>
    <w:rsid w:val="00854F88"/>
    <w:rsid w:val="008564BD"/>
    <w:rsid w:val="00860934"/>
    <w:rsid w:val="00863316"/>
    <w:rsid w:val="0086489F"/>
    <w:rsid w:val="0086712E"/>
    <w:rsid w:val="008707D4"/>
    <w:rsid w:val="00871584"/>
    <w:rsid w:val="008755C5"/>
    <w:rsid w:val="00876CF0"/>
    <w:rsid w:val="008A1289"/>
    <w:rsid w:val="008A6FDD"/>
    <w:rsid w:val="008B6A43"/>
    <w:rsid w:val="008C17A4"/>
    <w:rsid w:val="008C3A84"/>
    <w:rsid w:val="008C6551"/>
    <w:rsid w:val="008C7FA0"/>
    <w:rsid w:val="008D0FB5"/>
    <w:rsid w:val="008D2B82"/>
    <w:rsid w:val="008D33E2"/>
    <w:rsid w:val="008D47A9"/>
    <w:rsid w:val="008E0229"/>
    <w:rsid w:val="008E0BF4"/>
    <w:rsid w:val="008E279B"/>
    <w:rsid w:val="008E42EF"/>
    <w:rsid w:val="008F0060"/>
    <w:rsid w:val="008F0282"/>
    <w:rsid w:val="008F1298"/>
    <w:rsid w:val="008F1BFD"/>
    <w:rsid w:val="008F5BD5"/>
    <w:rsid w:val="009005E9"/>
    <w:rsid w:val="00900E7F"/>
    <w:rsid w:val="009046FC"/>
    <w:rsid w:val="00911629"/>
    <w:rsid w:val="00911ADC"/>
    <w:rsid w:val="0091466C"/>
    <w:rsid w:val="00914786"/>
    <w:rsid w:val="00914CDF"/>
    <w:rsid w:val="0091504F"/>
    <w:rsid w:val="0091749A"/>
    <w:rsid w:val="0092022B"/>
    <w:rsid w:val="009217F3"/>
    <w:rsid w:val="00927CA7"/>
    <w:rsid w:val="00947503"/>
    <w:rsid w:val="00962FEF"/>
    <w:rsid w:val="00964AC8"/>
    <w:rsid w:val="00973FE5"/>
    <w:rsid w:val="00975850"/>
    <w:rsid w:val="00977340"/>
    <w:rsid w:val="00984C65"/>
    <w:rsid w:val="00984D5E"/>
    <w:rsid w:val="00986BBB"/>
    <w:rsid w:val="00993846"/>
    <w:rsid w:val="00993B56"/>
    <w:rsid w:val="0099691A"/>
    <w:rsid w:val="009A074E"/>
    <w:rsid w:val="009A10F5"/>
    <w:rsid w:val="009A2568"/>
    <w:rsid w:val="009A32DA"/>
    <w:rsid w:val="009A68DF"/>
    <w:rsid w:val="009A7267"/>
    <w:rsid w:val="009C0B45"/>
    <w:rsid w:val="009C2C5C"/>
    <w:rsid w:val="009C51E0"/>
    <w:rsid w:val="009C5503"/>
    <w:rsid w:val="009D1320"/>
    <w:rsid w:val="009D2D2B"/>
    <w:rsid w:val="009E08CB"/>
    <w:rsid w:val="009E10DC"/>
    <w:rsid w:val="009E4941"/>
    <w:rsid w:val="009F0549"/>
    <w:rsid w:val="009F1180"/>
    <w:rsid w:val="009F3853"/>
    <w:rsid w:val="00A06DDC"/>
    <w:rsid w:val="00A06E12"/>
    <w:rsid w:val="00A07B59"/>
    <w:rsid w:val="00A1082E"/>
    <w:rsid w:val="00A134FF"/>
    <w:rsid w:val="00A141D9"/>
    <w:rsid w:val="00A22776"/>
    <w:rsid w:val="00A23115"/>
    <w:rsid w:val="00A24C1D"/>
    <w:rsid w:val="00A27A1D"/>
    <w:rsid w:val="00A3047B"/>
    <w:rsid w:val="00A3116A"/>
    <w:rsid w:val="00A33E8C"/>
    <w:rsid w:val="00A360F8"/>
    <w:rsid w:val="00A37BC4"/>
    <w:rsid w:val="00A4189B"/>
    <w:rsid w:val="00A424FB"/>
    <w:rsid w:val="00A46DB2"/>
    <w:rsid w:val="00A52687"/>
    <w:rsid w:val="00A52B5A"/>
    <w:rsid w:val="00A642F7"/>
    <w:rsid w:val="00A70339"/>
    <w:rsid w:val="00A71F0A"/>
    <w:rsid w:val="00A8008D"/>
    <w:rsid w:val="00A87AF8"/>
    <w:rsid w:val="00A909A3"/>
    <w:rsid w:val="00A921CA"/>
    <w:rsid w:val="00A93F22"/>
    <w:rsid w:val="00A9429C"/>
    <w:rsid w:val="00AA0357"/>
    <w:rsid w:val="00AA158C"/>
    <w:rsid w:val="00AA22EC"/>
    <w:rsid w:val="00AA5205"/>
    <w:rsid w:val="00AA7E5B"/>
    <w:rsid w:val="00AB1F98"/>
    <w:rsid w:val="00AC1903"/>
    <w:rsid w:val="00AC35DC"/>
    <w:rsid w:val="00AC3C4D"/>
    <w:rsid w:val="00AC76E9"/>
    <w:rsid w:val="00AC77E4"/>
    <w:rsid w:val="00AD0293"/>
    <w:rsid w:val="00AD3EC2"/>
    <w:rsid w:val="00AD7040"/>
    <w:rsid w:val="00AD7CDD"/>
    <w:rsid w:val="00AE10DF"/>
    <w:rsid w:val="00AE132A"/>
    <w:rsid w:val="00AE3100"/>
    <w:rsid w:val="00AE4B34"/>
    <w:rsid w:val="00AE56DB"/>
    <w:rsid w:val="00AE618D"/>
    <w:rsid w:val="00AE6556"/>
    <w:rsid w:val="00AE7355"/>
    <w:rsid w:val="00AF0BAB"/>
    <w:rsid w:val="00AF72E9"/>
    <w:rsid w:val="00B03F46"/>
    <w:rsid w:val="00B04730"/>
    <w:rsid w:val="00B04AF0"/>
    <w:rsid w:val="00B061F1"/>
    <w:rsid w:val="00B15A84"/>
    <w:rsid w:val="00B20393"/>
    <w:rsid w:val="00B20C84"/>
    <w:rsid w:val="00B23453"/>
    <w:rsid w:val="00B425ED"/>
    <w:rsid w:val="00B42D01"/>
    <w:rsid w:val="00B43B10"/>
    <w:rsid w:val="00B475DF"/>
    <w:rsid w:val="00B500D6"/>
    <w:rsid w:val="00B55614"/>
    <w:rsid w:val="00B55967"/>
    <w:rsid w:val="00B66CD5"/>
    <w:rsid w:val="00B67830"/>
    <w:rsid w:val="00B80042"/>
    <w:rsid w:val="00B8171D"/>
    <w:rsid w:val="00B85747"/>
    <w:rsid w:val="00B90776"/>
    <w:rsid w:val="00B93375"/>
    <w:rsid w:val="00B93424"/>
    <w:rsid w:val="00B94C90"/>
    <w:rsid w:val="00BA14D3"/>
    <w:rsid w:val="00BA324F"/>
    <w:rsid w:val="00BA352B"/>
    <w:rsid w:val="00BA356A"/>
    <w:rsid w:val="00BB1A1A"/>
    <w:rsid w:val="00BB6774"/>
    <w:rsid w:val="00BC3172"/>
    <w:rsid w:val="00BC32AC"/>
    <w:rsid w:val="00BE1C2C"/>
    <w:rsid w:val="00BE3532"/>
    <w:rsid w:val="00BE4DA8"/>
    <w:rsid w:val="00BE5087"/>
    <w:rsid w:val="00BF1F94"/>
    <w:rsid w:val="00BF29E1"/>
    <w:rsid w:val="00BF5891"/>
    <w:rsid w:val="00BF6095"/>
    <w:rsid w:val="00BF7D89"/>
    <w:rsid w:val="00C105CE"/>
    <w:rsid w:val="00C13B13"/>
    <w:rsid w:val="00C13C32"/>
    <w:rsid w:val="00C13EB5"/>
    <w:rsid w:val="00C21351"/>
    <w:rsid w:val="00C21C0E"/>
    <w:rsid w:val="00C24258"/>
    <w:rsid w:val="00C24990"/>
    <w:rsid w:val="00C2630F"/>
    <w:rsid w:val="00C26885"/>
    <w:rsid w:val="00C4074B"/>
    <w:rsid w:val="00C415C0"/>
    <w:rsid w:val="00C427A0"/>
    <w:rsid w:val="00C42DAC"/>
    <w:rsid w:val="00C44422"/>
    <w:rsid w:val="00C466C8"/>
    <w:rsid w:val="00C50131"/>
    <w:rsid w:val="00C51B58"/>
    <w:rsid w:val="00C5224D"/>
    <w:rsid w:val="00C541C8"/>
    <w:rsid w:val="00C55881"/>
    <w:rsid w:val="00C569BC"/>
    <w:rsid w:val="00C61931"/>
    <w:rsid w:val="00C62101"/>
    <w:rsid w:val="00C6349D"/>
    <w:rsid w:val="00C638B7"/>
    <w:rsid w:val="00C65D86"/>
    <w:rsid w:val="00C71195"/>
    <w:rsid w:val="00C73907"/>
    <w:rsid w:val="00C7510D"/>
    <w:rsid w:val="00C7785C"/>
    <w:rsid w:val="00C83E25"/>
    <w:rsid w:val="00C8651B"/>
    <w:rsid w:val="00C90389"/>
    <w:rsid w:val="00C904FB"/>
    <w:rsid w:val="00C90C23"/>
    <w:rsid w:val="00C911E2"/>
    <w:rsid w:val="00C91B9F"/>
    <w:rsid w:val="00C928E1"/>
    <w:rsid w:val="00C96FF5"/>
    <w:rsid w:val="00CA0057"/>
    <w:rsid w:val="00CA2605"/>
    <w:rsid w:val="00CA3198"/>
    <w:rsid w:val="00CA323F"/>
    <w:rsid w:val="00CA5224"/>
    <w:rsid w:val="00CA78B1"/>
    <w:rsid w:val="00CB09EB"/>
    <w:rsid w:val="00CB48AA"/>
    <w:rsid w:val="00CC058D"/>
    <w:rsid w:val="00CC288F"/>
    <w:rsid w:val="00CD0BA0"/>
    <w:rsid w:val="00CE2FDC"/>
    <w:rsid w:val="00CE35C7"/>
    <w:rsid w:val="00CE4026"/>
    <w:rsid w:val="00CE470D"/>
    <w:rsid w:val="00CF33CC"/>
    <w:rsid w:val="00CF3BFA"/>
    <w:rsid w:val="00CF3F16"/>
    <w:rsid w:val="00CF69CF"/>
    <w:rsid w:val="00CF7DD8"/>
    <w:rsid w:val="00D00C9E"/>
    <w:rsid w:val="00D06023"/>
    <w:rsid w:val="00D10297"/>
    <w:rsid w:val="00D105B6"/>
    <w:rsid w:val="00D1087D"/>
    <w:rsid w:val="00D118E8"/>
    <w:rsid w:val="00D12582"/>
    <w:rsid w:val="00D154EF"/>
    <w:rsid w:val="00D2038D"/>
    <w:rsid w:val="00D20664"/>
    <w:rsid w:val="00D257C8"/>
    <w:rsid w:val="00D273C0"/>
    <w:rsid w:val="00D311E8"/>
    <w:rsid w:val="00D406F1"/>
    <w:rsid w:val="00D43FA5"/>
    <w:rsid w:val="00D462C3"/>
    <w:rsid w:val="00D471E7"/>
    <w:rsid w:val="00D477FB"/>
    <w:rsid w:val="00D55113"/>
    <w:rsid w:val="00D5573B"/>
    <w:rsid w:val="00D60505"/>
    <w:rsid w:val="00D607D5"/>
    <w:rsid w:val="00D627F6"/>
    <w:rsid w:val="00D7086E"/>
    <w:rsid w:val="00D72EFE"/>
    <w:rsid w:val="00D80C8B"/>
    <w:rsid w:val="00D8271A"/>
    <w:rsid w:val="00D85583"/>
    <w:rsid w:val="00D86970"/>
    <w:rsid w:val="00D951B7"/>
    <w:rsid w:val="00D9709D"/>
    <w:rsid w:val="00DA2372"/>
    <w:rsid w:val="00DA4602"/>
    <w:rsid w:val="00DA4908"/>
    <w:rsid w:val="00DA5A42"/>
    <w:rsid w:val="00DA683C"/>
    <w:rsid w:val="00DA7A15"/>
    <w:rsid w:val="00DB10BB"/>
    <w:rsid w:val="00DB3A84"/>
    <w:rsid w:val="00DC00C3"/>
    <w:rsid w:val="00DC4786"/>
    <w:rsid w:val="00DD046C"/>
    <w:rsid w:val="00DD1C7F"/>
    <w:rsid w:val="00DD318B"/>
    <w:rsid w:val="00DD56AF"/>
    <w:rsid w:val="00DD5D5E"/>
    <w:rsid w:val="00DD6221"/>
    <w:rsid w:val="00DE1206"/>
    <w:rsid w:val="00DE1736"/>
    <w:rsid w:val="00DE327C"/>
    <w:rsid w:val="00DF2B59"/>
    <w:rsid w:val="00DF2C76"/>
    <w:rsid w:val="00DF44EC"/>
    <w:rsid w:val="00E030EE"/>
    <w:rsid w:val="00E037C6"/>
    <w:rsid w:val="00E04702"/>
    <w:rsid w:val="00E07482"/>
    <w:rsid w:val="00E15CBD"/>
    <w:rsid w:val="00E22FE0"/>
    <w:rsid w:val="00E238F8"/>
    <w:rsid w:val="00E26255"/>
    <w:rsid w:val="00E2679B"/>
    <w:rsid w:val="00E26F13"/>
    <w:rsid w:val="00E27C17"/>
    <w:rsid w:val="00E30EBD"/>
    <w:rsid w:val="00E326CD"/>
    <w:rsid w:val="00E33689"/>
    <w:rsid w:val="00E37BC9"/>
    <w:rsid w:val="00E43800"/>
    <w:rsid w:val="00E47D44"/>
    <w:rsid w:val="00E54F76"/>
    <w:rsid w:val="00E61016"/>
    <w:rsid w:val="00E64643"/>
    <w:rsid w:val="00E65794"/>
    <w:rsid w:val="00E65B2F"/>
    <w:rsid w:val="00E65C0E"/>
    <w:rsid w:val="00E77F11"/>
    <w:rsid w:val="00E829E5"/>
    <w:rsid w:val="00E90A1E"/>
    <w:rsid w:val="00E92055"/>
    <w:rsid w:val="00E93134"/>
    <w:rsid w:val="00EA04AD"/>
    <w:rsid w:val="00EA1AD5"/>
    <w:rsid w:val="00EA25F3"/>
    <w:rsid w:val="00EA7713"/>
    <w:rsid w:val="00EB2281"/>
    <w:rsid w:val="00EB7118"/>
    <w:rsid w:val="00EC3A61"/>
    <w:rsid w:val="00EC42F1"/>
    <w:rsid w:val="00EC539E"/>
    <w:rsid w:val="00ED2052"/>
    <w:rsid w:val="00ED5D23"/>
    <w:rsid w:val="00ED6362"/>
    <w:rsid w:val="00ED6474"/>
    <w:rsid w:val="00EE0423"/>
    <w:rsid w:val="00EE0F0D"/>
    <w:rsid w:val="00EE1ED0"/>
    <w:rsid w:val="00EE2C19"/>
    <w:rsid w:val="00EE4F60"/>
    <w:rsid w:val="00EE6624"/>
    <w:rsid w:val="00EF3AD9"/>
    <w:rsid w:val="00EF5A42"/>
    <w:rsid w:val="00EF738A"/>
    <w:rsid w:val="00F03E50"/>
    <w:rsid w:val="00F101A6"/>
    <w:rsid w:val="00F14954"/>
    <w:rsid w:val="00F15431"/>
    <w:rsid w:val="00F1607B"/>
    <w:rsid w:val="00F2717E"/>
    <w:rsid w:val="00F30BCD"/>
    <w:rsid w:val="00F35327"/>
    <w:rsid w:val="00F41223"/>
    <w:rsid w:val="00F41622"/>
    <w:rsid w:val="00F478D8"/>
    <w:rsid w:val="00F605B1"/>
    <w:rsid w:val="00F60685"/>
    <w:rsid w:val="00F67C91"/>
    <w:rsid w:val="00F67DA8"/>
    <w:rsid w:val="00F70BB4"/>
    <w:rsid w:val="00F73311"/>
    <w:rsid w:val="00F773F5"/>
    <w:rsid w:val="00F80D0A"/>
    <w:rsid w:val="00F86176"/>
    <w:rsid w:val="00F90DC6"/>
    <w:rsid w:val="00F90F2B"/>
    <w:rsid w:val="00F92B4A"/>
    <w:rsid w:val="00F93537"/>
    <w:rsid w:val="00F968C7"/>
    <w:rsid w:val="00FA0728"/>
    <w:rsid w:val="00FA36F0"/>
    <w:rsid w:val="00FA4CEE"/>
    <w:rsid w:val="00FA4ED4"/>
    <w:rsid w:val="00FA78D4"/>
    <w:rsid w:val="00FB1E0C"/>
    <w:rsid w:val="00FB259D"/>
    <w:rsid w:val="00FB3534"/>
    <w:rsid w:val="00FB5296"/>
    <w:rsid w:val="00FB63DC"/>
    <w:rsid w:val="00FB6632"/>
    <w:rsid w:val="00FB6683"/>
    <w:rsid w:val="00FC00F0"/>
    <w:rsid w:val="00FC0166"/>
    <w:rsid w:val="00FE0CEB"/>
    <w:rsid w:val="00FE476D"/>
    <w:rsid w:val="00FE6827"/>
    <w:rsid w:val="00FE6DAA"/>
    <w:rsid w:val="00FF0320"/>
    <w:rsid w:val="00FF0361"/>
    <w:rsid w:val="00FF3287"/>
    <w:rsid w:val="00FF3338"/>
    <w:rsid w:val="00FF390A"/>
    <w:rsid w:val="00FF54BD"/>
    <w:rsid w:val="00FF699C"/>
    <w:rsid w:val="00FF6FE8"/>
    <w:rsid w:val="2D4B496E"/>
    <w:rsid w:val="3F0547CF"/>
    <w:rsid w:val="47AF75AD"/>
    <w:rsid w:val="7D4D6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eastAsia="SimSun" w:asciiTheme="minorHAnsi" w:hAnsiTheme="minorHAnsi" w:cstheme="minorBidi"/>
      <w:sz w:val="22"/>
      <w:szCs w:val="22"/>
      <w:lang w:val="en-US" w:eastAsia="en-US" w:bidi="ar-SA"/>
    </w:rPr>
  </w:style>
  <w:style w:type="paragraph" w:styleId="2">
    <w:name w:val="heading 1"/>
    <w:basedOn w:val="1"/>
    <w:next w:val="1"/>
    <w:link w:val="21"/>
    <w:qFormat/>
    <w:uiPriority w:val="9"/>
    <w:pPr>
      <w:spacing w:before="240" w:after="240" w:line="360" w:lineRule="auto"/>
      <w:jc w:val="both"/>
      <w:outlineLvl w:val="0"/>
    </w:pPr>
    <w:rPr>
      <w:rFonts w:ascii="Times New Roman" w:hAnsi="Times New Roman" w:eastAsia="Times New Roman" w:cs="Times New Roman"/>
      <w:b/>
      <w:sz w:val="24"/>
      <w:szCs w:val="24"/>
      <w:lang w:val="en-GB"/>
    </w:rPr>
  </w:style>
  <w:style w:type="paragraph" w:styleId="3">
    <w:name w:val="heading 2"/>
    <w:basedOn w:val="1"/>
    <w:next w:val="1"/>
    <w:link w:val="22"/>
    <w:unhideWhenUsed/>
    <w:qFormat/>
    <w:uiPriority w:val="9"/>
    <w:pPr>
      <w:keepNext/>
      <w:keepLines/>
      <w:spacing w:before="40" w:after="0" w:line="240" w:lineRule="auto"/>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23"/>
    <w:unhideWhenUsed/>
    <w:qFormat/>
    <w:uiPriority w:val="9"/>
    <w:pPr>
      <w:keepNext/>
      <w:keepLines/>
      <w:spacing w:before="40" w:after="0" w:line="240" w:lineRule="auto"/>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1"/>
    <w:semiHidden/>
    <w:unhideWhenUsed/>
    <w:qFormat/>
    <w:uiPriority w:val="99"/>
    <w:pPr>
      <w:spacing w:after="0" w:line="240" w:lineRule="auto"/>
    </w:pPr>
    <w:rPr>
      <w:rFonts w:ascii="Segoe UI" w:hAnsi="Segoe UI" w:cs="Segoe UI"/>
      <w:sz w:val="18"/>
      <w:szCs w:val="18"/>
    </w:rPr>
  </w:style>
  <w:style w:type="paragraph" w:styleId="8">
    <w:name w:val="caption"/>
    <w:basedOn w:val="1"/>
    <w:next w:val="1"/>
    <w:link w:val="30"/>
    <w:unhideWhenUsed/>
    <w:qFormat/>
    <w:uiPriority w:val="0"/>
    <w:pPr>
      <w:spacing w:after="200" w:line="240" w:lineRule="auto"/>
    </w:pPr>
    <w:rPr>
      <w:rFonts w:ascii="Times New Roman" w:hAnsi="Times New Roman" w:eastAsia="Times New Roman" w:cs="Times New Roman"/>
      <w:i/>
      <w:iCs/>
      <w:color w:val="44546A" w:themeColor="text2"/>
      <w:sz w:val="18"/>
      <w:szCs w:val="18"/>
      <w14:textFill>
        <w14:solidFill>
          <w14:schemeClr w14:val="tx2"/>
        </w14:solidFill>
      </w14:textFill>
    </w:rPr>
  </w:style>
  <w:style w:type="paragraph" w:styleId="9">
    <w:name w:val="footer"/>
    <w:basedOn w:val="1"/>
    <w:link w:val="29"/>
    <w:unhideWhenUsed/>
    <w:qFormat/>
    <w:uiPriority w:val="99"/>
    <w:pPr>
      <w:tabs>
        <w:tab w:val="center" w:pos="4680"/>
        <w:tab w:val="right" w:pos="9360"/>
      </w:tabs>
      <w:spacing w:after="0" w:line="240" w:lineRule="auto"/>
    </w:pPr>
  </w:style>
  <w:style w:type="paragraph" w:styleId="10">
    <w:name w:val="footnote text"/>
    <w:basedOn w:val="1"/>
    <w:link w:val="32"/>
    <w:unhideWhenUsed/>
    <w:qFormat/>
    <w:uiPriority w:val="99"/>
    <w:pPr>
      <w:spacing w:after="0" w:line="240" w:lineRule="auto"/>
    </w:pPr>
    <w:rPr>
      <w:rFonts w:ascii="Calibri" w:hAnsi="Calibri" w:eastAsia="Calibri" w:cs="Times New Roman"/>
      <w:sz w:val="20"/>
      <w:szCs w:val="20"/>
    </w:rPr>
  </w:style>
  <w:style w:type="paragraph" w:styleId="11">
    <w:name w:val="header"/>
    <w:basedOn w:val="1"/>
    <w:link w:val="28"/>
    <w:unhideWhenUsed/>
    <w:qFormat/>
    <w:uiPriority w:val="99"/>
    <w:pPr>
      <w:tabs>
        <w:tab w:val="center" w:pos="4680"/>
        <w:tab w:val="right" w:pos="9360"/>
      </w:tabs>
      <w:spacing w:after="0" w:line="240" w:lineRule="auto"/>
    </w:pPr>
  </w:style>
  <w:style w:type="character" w:styleId="12">
    <w:name w:val="Hyperlink"/>
    <w:basedOn w:val="5"/>
    <w:unhideWhenUsed/>
    <w:qFormat/>
    <w:uiPriority w:val="99"/>
    <w:rPr>
      <w:color w:val="0563C1" w:themeColor="hyperlink"/>
      <w:u w:val="single"/>
      <w14:textFill>
        <w14:solidFill>
          <w14:schemeClr w14:val="hlink"/>
        </w14:solidFill>
      </w14:textFill>
    </w:r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4">
    <w:name w:val="page number"/>
    <w:basedOn w:val="5"/>
    <w:qFormat/>
    <w:uiPriority w:val="0"/>
  </w:style>
  <w:style w:type="character" w:styleId="15">
    <w:name w:val="Strong"/>
    <w:basedOn w:val="5"/>
    <w:qFormat/>
    <w:uiPriority w:val="22"/>
    <w:rPr>
      <w:b/>
      <w:bCs/>
    </w:rPr>
  </w:style>
  <w:style w:type="table" w:styleId="16">
    <w:name w:val="Table Grid"/>
    <w:basedOn w:val="6"/>
    <w:qFormat/>
    <w:uiPriority w:val="39"/>
    <w:pPr>
      <w:spacing w:after="0" w:line="240" w:lineRule="auto"/>
    </w:pPr>
    <w:rPr>
      <w:rFonts w:ascii="Times New Roman" w:hAnsi="Times New Roman"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able of figures"/>
    <w:basedOn w:val="1"/>
    <w:next w:val="1"/>
    <w:unhideWhenUsed/>
    <w:qFormat/>
    <w:uiPriority w:val="99"/>
    <w:pPr>
      <w:spacing w:after="0"/>
    </w:pPr>
  </w:style>
  <w:style w:type="paragraph" w:styleId="18">
    <w:name w:val="toc 1"/>
    <w:basedOn w:val="1"/>
    <w:next w:val="1"/>
    <w:autoRedefine/>
    <w:unhideWhenUsed/>
    <w:qFormat/>
    <w:uiPriority w:val="39"/>
    <w:pPr>
      <w:spacing w:after="100"/>
    </w:pPr>
  </w:style>
  <w:style w:type="paragraph" w:styleId="19">
    <w:name w:val="toc 2"/>
    <w:basedOn w:val="1"/>
    <w:next w:val="1"/>
    <w:autoRedefine/>
    <w:unhideWhenUsed/>
    <w:qFormat/>
    <w:uiPriority w:val="39"/>
    <w:pPr>
      <w:spacing w:after="100"/>
      <w:ind w:left="220"/>
    </w:pPr>
  </w:style>
  <w:style w:type="paragraph" w:styleId="20">
    <w:name w:val="toc 3"/>
    <w:basedOn w:val="1"/>
    <w:next w:val="1"/>
    <w:autoRedefine/>
    <w:unhideWhenUsed/>
    <w:qFormat/>
    <w:uiPriority w:val="39"/>
    <w:pPr>
      <w:spacing w:after="100"/>
      <w:ind w:left="440"/>
    </w:pPr>
  </w:style>
  <w:style w:type="character" w:customStyle="1" w:styleId="21">
    <w:name w:val="Heading 1 Char"/>
    <w:basedOn w:val="5"/>
    <w:link w:val="2"/>
    <w:qFormat/>
    <w:uiPriority w:val="9"/>
    <w:rPr>
      <w:rFonts w:ascii="Times New Roman" w:hAnsi="Times New Roman" w:eastAsia="Times New Roman" w:cs="Times New Roman"/>
      <w:b/>
      <w:sz w:val="24"/>
      <w:szCs w:val="24"/>
      <w:lang w:val="en-GB"/>
    </w:rPr>
  </w:style>
  <w:style w:type="character" w:customStyle="1" w:styleId="22">
    <w:name w:val="Heading 2 Char"/>
    <w:basedOn w:val="5"/>
    <w:link w:val="3"/>
    <w:qFormat/>
    <w:uiPriority w:val="9"/>
    <w:rPr>
      <w:rFonts w:asciiTheme="majorHAnsi" w:hAnsiTheme="majorHAnsi" w:eastAsiaTheme="majorEastAsia" w:cstheme="majorBidi"/>
      <w:color w:val="2E75B6" w:themeColor="accent1" w:themeShade="BF"/>
      <w:sz w:val="26"/>
      <w:szCs w:val="26"/>
    </w:rPr>
  </w:style>
  <w:style w:type="character" w:customStyle="1" w:styleId="23">
    <w:name w:val="Heading 3 Char"/>
    <w:basedOn w:val="5"/>
    <w:link w:val="4"/>
    <w:qFormat/>
    <w:uiPriority w:val="9"/>
    <w:rPr>
      <w:rFonts w:asciiTheme="majorHAnsi" w:hAnsiTheme="majorHAnsi" w:eastAsiaTheme="majorEastAsia" w:cstheme="majorBidi"/>
      <w:color w:val="1F4E79" w:themeColor="accent1" w:themeShade="80"/>
      <w:sz w:val="24"/>
      <w:szCs w:val="24"/>
    </w:rPr>
  </w:style>
  <w:style w:type="paragraph" w:styleId="24">
    <w:name w:val="List Paragraph"/>
    <w:basedOn w:val="1"/>
    <w:link w:val="25"/>
    <w:qFormat/>
    <w:uiPriority w:val="0"/>
    <w:pPr>
      <w:ind w:left="720"/>
      <w:contextualSpacing/>
    </w:pPr>
  </w:style>
  <w:style w:type="character" w:customStyle="1" w:styleId="25">
    <w:name w:val="List Paragraph Char"/>
    <w:link w:val="24"/>
    <w:qFormat/>
    <w:locked/>
    <w:uiPriority w:val="0"/>
    <w:rPr>
      <w:rFonts w:eastAsia="SimSun"/>
    </w:rPr>
  </w:style>
  <w:style w:type="paragraph" w:styleId="26">
    <w:name w:val="No Spacing"/>
    <w:link w:val="27"/>
    <w:qFormat/>
    <w:uiPriority w:val="1"/>
    <w:pPr>
      <w:spacing w:after="0" w:line="240" w:lineRule="auto"/>
    </w:pPr>
    <w:rPr>
      <w:rFonts w:ascii="Times New Roman" w:hAnsi="Times New Roman" w:eastAsia="Times New Roman" w:cs="Times New Roman"/>
      <w:sz w:val="24"/>
      <w:szCs w:val="24"/>
      <w:lang w:val="en-US" w:eastAsia="en-US" w:bidi="ar-SA"/>
    </w:rPr>
  </w:style>
  <w:style w:type="character" w:customStyle="1" w:styleId="27">
    <w:name w:val="No Spacing Char"/>
    <w:basedOn w:val="5"/>
    <w:link w:val="26"/>
    <w:qFormat/>
    <w:uiPriority w:val="1"/>
    <w:rPr>
      <w:rFonts w:ascii="Times New Roman" w:hAnsi="Times New Roman" w:eastAsia="Times New Roman" w:cs="Times New Roman"/>
      <w:sz w:val="24"/>
      <w:szCs w:val="24"/>
    </w:rPr>
  </w:style>
  <w:style w:type="character" w:customStyle="1" w:styleId="28">
    <w:name w:val="Header Char"/>
    <w:basedOn w:val="5"/>
    <w:link w:val="11"/>
    <w:qFormat/>
    <w:uiPriority w:val="99"/>
    <w:rPr>
      <w:rFonts w:eastAsia="SimSun"/>
    </w:rPr>
  </w:style>
  <w:style w:type="character" w:customStyle="1" w:styleId="29">
    <w:name w:val="Footer Char"/>
    <w:basedOn w:val="5"/>
    <w:link w:val="9"/>
    <w:qFormat/>
    <w:uiPriority w:val="99"/>
    <w:rPr>
      <w:rFonts w:eastAsia="SimSun"/>
    </w:rPr>
  </w:style>
  <w:style w:type="character" w:customStyle="1" w:styleId="30">
    <w:name w:val="Caption Char"/>
    <w:link w:val="8"/>
    <w:qFormat/>
    <w:locked/>
    <w:uiPriority w:val="0"/>
    <w:rPr>
      <w:rFonts w:ascii="Times New Roman" w:hAnsi="Times New Roman" w:eastAsia="Times New Roman" w:cs="Times New Roman"/>
      <w:i/>
      <w:iCs/>
      <w:color w:val="44546A" w:themeColor="text2"/>
      <w:sz w:val="18"/>
      <w:szCs w:val="18"/>
      <w14:textFill>
        <w14:solidFill>
          <w14:schemeClr w14:val="tx2"/>
        </w14:solidFill>
      </w14:textFill>
    </w:rPr>
  </w:style>
  <w:style w:type="character" w:customStyle="1" w:styleId="31">
    <w:name w:val="Balloon Text Char"/>
    <w:basedOn w:val="5"/>
    <w:link w:val="7"/>
    <w:semiHidden/>
    <w:qFormat/>
    <w:uiPriority w:val="99"/>
    <w:rPr>
      <w:rFonts w:ascii="Segoe UI" w:hAnsi="Segoe UI" w:eastAsia="SimSun" w:cs="Segoe UI"/>
      <w:sz w:val="18"/>
      <w:szCs w:val="18"/>
    </w:rPr>
  </w:style>
  <w:style w:type="character" w:customStyle="1" w:styleId="32">
    <w:name w:val="Footnote Text Char"/>
    <w:basedOn w:val="5"/>
    <w:link w:val="10"/>
    <w:qFormat/>
    <w:uiPriority w:val="99"/>
    <w:rPr>
      <w:rFonts w:ascii="Calibri" w:hAnsi="Calibri" w:eastAsia="Calibri" w:cs="Times New Roman"/>
      <w:sz w:val="20"/>
      <w:szCs w:val="20"/>
    </w:rPr>
  </w:style>
  <w:style w:type="paragraph" w:customStyle="1" w:styleId="33">
    <w:name w:val="Head 2"/>
    <w:basedOn w:val="3"/>
    <w:qFormat/>
    <w:uiPriority w:val="0"/>
    <w:pPr>
      <w:keepLines w:val="0"/>
      <w:spacing w:before="240" w:after="60"/>
      <w:jc w:val="both"/>
      <w:outlineLvl w:val="9"/>
    </w:pPr>
    <w:rPr>
      <w:rFonts w:ascii="Helvetica 65 Medium" w:hAnsi="Helvetica 65 Medium" w:eastAsia="Times New Roman" w:cs="Times New Roman"/>
      <w:b/>
      <w:bCs/>
      <w:i/>
      <w:iCs/>
      <w:color w:val="auto"/>
      <w:kern w:val="28"/>
      <w:sz w:val="28"/>
      <w:szCs w:val="28"/>
      <w:lang w:val="en-GB"/>
    </w:rPr>
  </w:style>
  <w:style w:type="character" w:customStyle="1" w:styleId="34">
    <w:name w:val="whitespace-normal"/>
    <w:basedOn w:val="5"/>
    <w:qFormat/>
    <w:uiPriority w:val="0"/>
  </w:style>
  <w:style w:type="character" w:customStyle="1" w:styleId="35">
    <w:name w:val="mord"/>
    <w:basedOn w:val="5"/>
    <w:qFormat/>
    <w:uiPriority w:val="0"/>
  </w:style>
  <w:style w:type="table" w:customStyle="1" w:styleId="36">
    <w:name w:val="Table Grid31"/>
    <w:basedOn w:val="6"/>
    <w:qFormat/>
    <w:uiPriority w:val="3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TOC Heading"/>
    <w:basedOn w:val="2"/>
    <w:next w:val="1"/>
    <w:unhideWhenUsed/>
    <w:qFormat/>
    <w:uiPriority w:val="39"/>
    <w:pPr>
      <w:keepNext/>
      <w:keepLines/>
      <w:spacing w:after="0" w:line="259" w:lineRule="auto"/>
      <w:jc w:val="left"/>
      <w:outlineLvl w:val="9"/>
    </w:pPr>
    <w:rPr>
      <w:rFonts w:asciiTheme="majorHAnsi" w:hAnsiTheme="majorHAnsi" w:eastAsiaTheme="majorEastAsia" w:cstheme="majorBidi"/>
      <w:b w:val="0"/>
      <w:color w:val="2E75B6" w:themeColor="accent1" w:themeShade="BF"/>
      <w:sz w:val="32"/>
      <w:szCs w:val="32"/>
      <w:lang w:val="en-US"/>
    </w:rPr>
  </w:style>
</w:styles>
</file>

<file path=word/_rels/document.xml.rels><?xml version="1.0" encoding="UTF-8" standalone="yes"?>
<Relationships xmlns="http://schemas.openxmlformats.org/package/2006/relationships"><Relationship Id="rId99" Type="http://schemas.openxmlformats.org/officeDocument/2006/relationships/image" Target="media/image88.jpeg"/><Relationship Id="rId98" Type="http://schemas.openxmlformats.org/officeDocument/2006/relationships/image" Target="media/image87.jpeg"/><Relationship Id="rId97" Type="http://schemas.openxmlformats.org/officeDocument/2006/relationships/image" Target="media/image86.jpeg"/><Relationship Id="rId96" Type="http://schemas.openxmlformats.org/officeDocument/2006/relationships/image" Target="media/image85.jpeg"/><Relationship Id="rId95" Type="http://schemas.openxmlformats.org/officeDocument/2006/relationships/image" Target="media/image84.jpeg"/><Relationship Id="rId94" Type="http://schemas.openxmlformats.org/officeDocument/2006/relationships/image" Target="media/image83.jpeg"/><Relationship Id="rId93" Type="http://schemas.openxmlformats.org/officeDocument/2006/relationships/image" Target="media/image82.jpeg"/><Relationship Id="rId92" Type="http://schemas.openxmlformats.org/officeDocument/2006/relationships/image" Target="media/image81.jpeg"/><Relationship Id="rId91" Type="http://schemas.openxmlformats.org/officeDocument/2006/relationships/image" Target="media/image80.jpeg"/><Relationship Id="rId90" Type="http://schemas.openxmlformats.org/officeDocument/2006/relationships/image" Target="media/image79.jpeg"/><Relationship Id="rId9" Type="http://schemas.openxmlformats.org/officeDocument/2006/relationships/image" Target="media/image2.emf"/><Relationship Id="rId89" Type="http://schemas.openxmlformats.org/officeDocument/2006/relationships/image" Target="media/image78.jpeg"/><Relationship Id="rId88" Type="http://schemas.openxmlformats.org/officeDocument/2006/relationships/image" Target="media/image77.jpeg"/><Relationship Id="rId87" Type="http://schemas.openxmlformats.org/officeDocument/2006/relationships/image" Target="media/image76.jpeg"/><Relationship Id="rId86" Type="http://schemas.openxmlformats.org/officeDocument/2006/relationships/image" Target="media/image75.jpeg"/><Relationship Id="rId85" Type="http://schemas.openxmlformats.org/officeDocument/2006/relationships/image" Target="media/image74.jpeg"/><Relationship Id="rId84" Type="http://schemas.openxmlformats.org/officeDocument/2006/relationships/image" Target="media/image73.jpeg"/><Relationship Id="rId83" Type="http://schemas.openxmlformats.org/officeDocument/2006/relationships/image" Target="media/image72.jpeg"/><Relationship Id="rId82" Type="http://schemas.openxmlformats.org/officeDocument/2006/relationships/image" Target="media/image71.jpeg"/><Relationship Id="rId81" Type="http://schemas.microsoft.com/office/2007/relationships/hdphoto" Target="media/image70.wdp"/><Relationship Id="rId80" Type="http://schemas.openxmlformats.org/officeDocument/2006/relationships/image" Target="media/image69.png"/><Relationship Id="rId8" Type="http://schemas.openxmlformats.org/officeDocument/2006/relationships/image" Target="media/image1.png"/><Relationship Id="rId79" Type="http://schemas.microsoft.com/office/2007/relationships/hdphoto" Target="media/image68.wdp"/><Relationship Id="rId78" Type="http://schemas.openxmlformats.org/officeDocument/2006/relationships/image" Target="media/image67.png"/><Relationship Id="rId77" Type="http://schemas.openxmlformats.org/officeDocument/2006/relationships/image" Target="media/image66.jpeg"/><Relationship Id="rId76" Type="http://schemas.microsoft.com/office/2007/relationships/hdphoto" Target="media/image65.wdp"/><Relationship Id="rId75" Type="http://schemas.openxmlformats.org/officeDocument/2006/relationships/image" Target="media/image64.png"/><Relationship Id="rId74" Type="http://schemas.openxmlformats.org/officeDocument/2006/relationships/image" Target="media/image63.jpeg"/><Relationship Id="rId73" Type="http://schemas.openxmlformats.org/officeDocument/2006/relationships/image" Target="media/image62.jpeg"/><Relationship Id="rId72" Type="http://schemas.microsoft.com/office/2007/relationships/hdphoto" Target="media/image61.wdp"/><Relationship Id="rId71" Type="http://schemas.openxmlformats.org/officeDocument/2006/relationships/image" Target="media/image60.png"/><Relationship Id="rId70" Type="http://schemas.openxmlformats.org/officeDocument/2006/relationships/image" Target="media/image59.jpeg"/><Relationship Id="rId7" Type="http://schemas.openxmlformats.org/officeDocument/2006/relationships/theme" Target="theme/theme1.xml"/><Relationship Id="rId69" Type="http://schemas.microsoft.com/office/2007/relationships/hdphoto" Target="media/image58.wdp"/><Relationship Id="rId68" Type="http://schemas.openxmlformats.org/officeDocument/2006/relationships/image" Target="media/image57.png"/><Relationship Id="rId67" Type="http://schemas.microsoft.com/office/2007/relationships/hdphoto" Target="media/image56.wdp"/><Relationship Id="rId66" Type="http://schemas.openxmlformats.org/officeDocument/2006/relationships/image" Target="media/image55.png"/><Relationship Id="rId65" Type="http://schemas.openxmlformats.org/officeDocument/2006/relationships/image" Target="media/image54.jpeg"/><Relationship Id="rId64" Type="http://schemas.openxmlformats.org/officeDocument/2006/relationships/image" Target="media/image53.jpeg"/><Relationship Id="rId63" Type="http://schemas.openxmlformats.org/officeDocument/2006/relationships/image" Target="media/image52.jpeg"/><Relationship Id="rId62" Type="http://schemas.openxmlformats.org/officeDocument/2006/relationships/image" Target="media/image51.jpeg"/><Relationship Id="rId61" Type="http://schemas.openxmlformats.org/officeDocument/2006/relationships/image" Target="media/image50.jpeg"/><Relationship Id="rId60" Type="http://schemas.openxmlformats.org/officeDocument/2006/relationships/image" Target="media/image49.jpeg"/><Relationship Id="rId6" Type="http://schemas.openxmlformats.org/officeDocument/2006/relationships/footer" Target="footer2.xml"/><Relationship Id="rId59" Type="http://schemas.openxmlformats.org/officeDocument/2006/relationships/image" Target="media/image48.jpeg"/><Relationship Id="rId58" Type="http://schemas.openxmlformats.org/officeDocument/2006/relationships/image" Target="media/image47.jpeg"/><Relationship Id="rId57" Type="http://schemas.openxmlformats.org/officeDocument/2006/relationships/image" Target="media/image46.jpeg"/><Relationship Id="rId56" Type="http://schemas.openxmlformats.org/officeDocument/2006/relationships/image" Target="media/image45.jpeg"/><Relationship Id="rId55" Type="http://schemas.openxmlformats.org/officeDocument/2006/relationships/image" Target="media/image44.jpeg"/><Relationship Id="rId54" Type="http://schemas.openxmlformats.org/officeDocument/2006/relationships/image" Target="media/image43.jpeg"/><Relationship Id="rId53" Type="http://schemas.openxmlformats.org/officeDocument/2006/relationships/image" Target="media/image42.jpeg"/><Relationship Id="rId52" Type="http://schemas.openxmlformats.org/officeDocument/2006/relationships/image" Target="media/image41.jpeg"/><Relationship Id="rId51" Type="http://schemas.openxmlformats.org/officeDocument/2006/relationships/image" Target="media/image40.jpeg"/><Relationship Id="rId50" Type="http://schemas.openxmlformats.org/officeDocument/2006/relationships/image" Target="media/image39.jpeg"/><Relationship Id="rId5" Type="http://schemas.openxmlformats.org/officeDocument/2006/relationships/footer" Target="footer1.xml"/><Relationship Id="rId49" Type="http://schemas.openxmlformats.org/officeDocument/2006/relationships/image" Target="media/image38.jpeg"/><Relationship Id="rId48" Type="http://schemas.openxmlformats.org/officeDocument/2006/relationships/image" Target="media/image37.jpeg"/><Relationship Id="rId47" Type="http://schemas.openxmlformats.org/officeDocument/2006/relationships/image" Target="media/image36.jpeg"/><Relationship Id="rId46" Type="http://schemas.openxmlformats.org/officeDocument/2006/relationships/image" Target="media/image35.jpeg"/><Relationship Id="rId45" Type="http://schemas.openxmlformats.org/officeDocument/2006/relationships/image" Target="media/image34.jpeg"/><Relationship Id="rId44" Type="http://schemas.openxmlformats.org/officeDocument/2006/relationships/image" Target="media/image33.jpeg"/><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endnotes" Target="endnotes.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microsoft.com/office/2007/relationships/hdphoto" Target="media/image21.wdp"/><Relationship Id="rId31" Type="http://schemas.openxmlformats.org/officeDocument/2006/relationships/image" Target="media/image20.png"/><Relationship Id="rId30" Type="http://schemas.microsoft.com/office/2007/relationships/hdphoto" Target="media/image19.wdp"/><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jpeg"/><Relationship Id="rId27" Type="http://schemas.openxmlformats.org/officeDocument/2006/relationships/image" Target="media/image16.jpeg"/><Relationship Id="rId26" Type="http://schemas.microsoft.com/office/2007/relationships/hdphoto" Target="media/image15.wdp"/><Relationship Id="rId25" Type="http://schemas.openxmlformats.org/officeDocument/2006/relationships/image" Target="media/image14.png"/><Relationship Id="rId24" Type="http://schemas.openxmlformats.org/officeDocument/2006/relationships/image" Target="media/image13.jpeg"/><Relationship Id="rId23" Type="http://schemas.microsoft.com/office/2007/relationships/hdphoto" Target="media/image12.wdp"/><Relationship Id="rId22" Type="http://schemas.openxmlformats.org/officeDocument/2006/relationships/image" Target="media/image11.pn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chart" Target="charts/chart4.xml"/><Relationship Id="rId15" Type="http://schemas.openxmlformats.org/officeDocument/2006/relationships/chart" Target="charts/chart3.xml"/><Relationship Id="rId147" Type="http://schemas.openxmlformats.org/officeDocument/2006/relationships/glossaryDocument" Target="glossary/document.xml"/><Relationship Id="rId146" Type="http://schemas.openxmlformats.org/officeDocument/2006/relationships/fontTable" Target="fontTable.xml"/><Relationship Id="rId145" Type="http://schemas.openxmlformats.org/officeDocument/2006/relationships/customXml" Target="../customXml/item2.xml"/><Relationship Id="rId144" Type="http://schemas.openxmlformats.org/officeDocument/2006/relationships/numbering" Target="numbering.xml"/><Relationship Id="rId143" Type="http://schemas.openxmlformats.org/officeDocument/2006/relationships/customXml" Target="../customXml/item1.xml"/><Relationship Id="rId142" Type="http://schemas.openxmlformats.org/officeDocument/2006/relationships/image" Target="media/image128.jpeg"/><Relationship Id="rId141" Type="http://schemas.openxmlformats.org/officeDocument/2006/relationships/image" Target="media/image127.jpeg"/><Relationship Id="rId140" Type="http://schemas.openxmlformats.org/officeDocument/2006/relationships/image" Target="media/image126.jpeg"/><Relationship Id="rId14" Type="http://schemas.openxmlformats.org/officeDocument/2006/relationships/chart" Target="charts/chart2.xml"/><Relationship Id="rId139" Type="http://schemas.openxmlformats.org/officeDocument/2006/relationships/image" Target="media/image125.jpeg"/><Relationship Id="rId138" Type="http://schemas.openxmlformats.org/officeDocument/2006/relationships/image" Target="media/image124.jpeg"/><Relationship Id="rId137" Type="http://schemas.openxmlformats.org/officeDocument/2006/relationships/image" Target="media/image123.jpeg"/><Relationship Id="rId136" Type="http://schemas.openxmlformats.org/officeDocument/2006/relationships/image" Target="media/image122.jpeg"/><Relationship Id="rId135" Type="http://schemas.openxmlformats.org/officeDocument/2006/relationships/image" Target="media/image121.jpeg"/><Relationship Id="rId134" Type="http://schemas.openxmlformats.org/officeDocument/2006/relationships/chart" Target="charts/chart7.xml"/><Relationship Id="rId133" Type="http://schemas.openxmlformats.org/officeDocument/2006/relationships/chart" Target="charts/chart6.xml"/><Relationship Id="rId132" Type="http://schemas.openxmlformats.org/officeDocument/2006/relationships/chart" Target="charts/chart5.xml"/><Relationship Id="rId131" Type="http://schemas.openxmlformats.org/officeDocument/2006/relationships/image" Target="media/image120.jpeg"/><Relationship Id="rId130" Type="http://schemas.openxmlformats.org/officeDocument/2006/relationships/image" Target="media/image119.jpeg"/><Relationship Id="rId13" Type="http://schemas.openxmlformats.org/officeDocument/2006/relationships/chart" Target="charts/chart1.xml"/><Relationship Id="rId129" Type="http://schemas.openxmlformats.org/officeDocument/2006/relationships/image" Target="media/image118.jpeg"/><Relationship Id="rId128" Type="http://schemas.openxmlformats.org/officeDocument/2006/relationships/image" Target="media/image117.jpeg"/><Relationship Id="rId127" Type="http://schemas.openxmlformats.org/officeDocument/2006/relationships/image" Target="media/image116.jpeg"/><Relationship Id="rId126" Type="http://schemas.openxmlformats.org/officeDocument/2006/relationships/image" Target="media/image115.jpeg"/><Relationship Id="rId125" Type="http://schemas.openxmlformats.org/officeDocument/2006/relationships/image" Target="media/image114.jpeg"/><Relationship Id="rId124" Type="http://schemas.openxmlformats.org/officeDocument/2006/relationships/image" Target="media/image113.jpeg"/><Relationship Id="rId123" Type="http://schemas.openxmlformats.org/officeDocument/2006/relationships/image" Target="media/image112.jpeg"/><Relationship Id="rId122" Type="http://schemas.openxmlformats.org/officeDocument/2006/relationships/image" Target="media/image111.jpeg"/><Relationship Id="rId121" Type="http://schemas.openxmlformats.org/officeDocument/2006/relationships/image" Target="media/image110.jpeg"/><Relationship Id="rId120" Type="http://schemas.openxmlformats.org/officeDocument/2006/relationships/image" Target="media/image109.jpeg"/><Relationship Id="rId12" Type="http://schemas.openxmlformats.org/officeDocument/2006/relationships/image" Target="media/image5.png"/><Relationship Id="rId119" Type="http://schemas.openxmlformats.org/officeDocument/2006/relationships/image" Target="media/image108.jpeg"/><Relationship Id="rId118" Type="http://schemas.openxmlformats.org/officeDocument/2006/relationships/image" Target="media/image107.jpeg"/><Relationship Id="rId117" Type="http://schemas.openxmlformats.org/officeDocument/2006/relationships/image" Target="media/image106.jpeg"/><Relationship Id="rId116" Type="http://schemas.openxmlformats.org/officeDocument/2006/relationships/image" Target="media/image105.jpeg"/><Relationship Id="rId115" Type="http://schemas.openxmlformats.org/officeDocument/2006/relationships/image" Target="media/image104.jpeg"/><Relationship Id="rId114" Type="http://schemas.openxmlformats.org/officeDocument/2006/relationships/image" Target="media/image103.jpeg"/><Relationship Id="rId113" Type="http://schemas.openxmlformats.org/officeDocument/2006/relationships/image" Target="media/image102.jpeg"/><Relationship Id="rId112" Type="http://schemas.openxmlformats.org/officeDocument/2006/relationships/image" Target="media/image101.jpeg"/><Relationship Id="rId111" Type="http://schemas.openxmlformats.org/officeDocument/2006/relationships/image" Target="media/image100.jpeg"/><Relationship Id="rId110" Type="http://schemas.openxmlformats.org/officeDocument/2006/relationships/image" Target="media/image99.jpeg"/><Relationship Id="rId11" Type="http://schemas.openxmlformats.org/officeDocument/2006/relationships/image" Target="media/image4.png"/><Relationship Id="rId109" Type="http://schemas.openxmlformats.org/officeDocument/2006/relationships/image" Target="media/image98.jpeg"/><Relationship Id="rId108" Type="http://schemas.openxmlformats.org/officeDocument/2006/relationships/image" Target="media/image97.jpeg"/><Relationship Id="rId107" Type="http://schemas.openxmlformats.org/officeDocument/2006/relationships/image" Target="media/image96.jpeg"/><Relationship Id="rId106" Type="http://schemas.openxmlformats.org/officeDocument/2006/relationships/image" Target="media/image95.jpeg"/><Relationship Id="rId105" Type="http://schemas.openxmlformats.org/officeDocument/2006/relationships/image" Target="media/image94.jpeg"/><Relationship Id="rId104" Type="http://schemas.openxmlformats.org/officeDocument/2006/relationships/image" Target="media/image93.png"/><Relationship Id="rId103" Type="http://schemas.openxmlformats.org/officeDocument/2006/relationships/image" Target="media/image92.png"/><Relationship Id="rId102" Type="http://schemas.openxmlformats.org/officeDocument/2006/relationships/image" Target="media/image91.png"/><Relationship Id="rId101" Type="http://schemas.openxmlformats.org/officeDocument/2006/relationships/image" Target="media/image90.png"/><Relationship Id="rId100" Type="http://schemas.openxmlformats.org/officeDocument/2006/relationships/image" Target="media/image89.jpeg"/><Relationship Id="rId10" Type="http://schemas.openxmlformats.org/officeDocument/2006/relationships/image" Target="media/image3.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Book2"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IMPLEMENTATION OF THE 2026 AAP BASE ON DIMENSSIONS</a:t>
            </a:r>
            <a:endParaRPr lang="en-US"/>
          </a:p>
        </c:rich>
      </c:tx>
      <c:layout/>
      <c:overlay val="0"/>
      <c:spPr>
        <a:noFill/>
        <a:ln>
          <a:noFill/>
        </a:ln>
        <a:effectLst/>
      </c:spPr>
    </c:title>
    <c:autoTitleDeleted val="0"/>
    <c:plotArea>
      <c:layout/>
      <c:barChart>
        <c:barDir val="col"/>
        <c:grouping val="clustered"/>
        <c:varyColors val="0"/>
        <c:ser>
          <c:idx val="0"/>
          <c:order val="0"/>
          <c:tx>
            <c:strRef>
              <c:f>Sheet1!$E$7</c:f>
              <c:strCache>
                <c:ptCount val="1"/>
                <c:pt idx="0">
                  <c:v>Economic Development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elete val="1"/>
          </c:dLbls>
          <c:cat>
            <c:multiLvlStrRef>
              <c:f>Sheet1!$F$5:$K$6</c:f>
              <c:multiLvlStrCache>
                <c:ptCount val="6"/>
                <c:lvl>
                  <c:pt idx="0">
                    <c:v>Plan</c:v>
                  </c:pt>
                  <c:pt idx="1">
                    <c:v>Exec</c:v>
                  </c:pt>
                  <c:pt idx="2">
                    <c:v>Plan</c:v>
                  </c:pt>
                  <c:pt idx="3">
                    <c:v>Exec</c:v>
                  </c:pt>
                  <c:pt idx="4">
                    <c:v>Plan</c:v>
                  </c:pt>
                  <c:pt idx="5">
                    <c:v>Exec</c:v>
                  </c:pt>
                </c:lvl>
                <c:lvl>
                  <c:pt idx="0">
                    <c:v>2024</c:v>
                  </c:pt>
                  <c:pt idx="2">
                    <c:v>2025</c:v>
                  </c:pt>
                  <c:pt idx="4">
                    <c:v>1ST QTR 2026</c:v>
                  </c:pt>
                </c:lvl>
              </c:multiLvlStrCache>
            </c:multiLvlStrRef>
          </c:cat>
          <c:val>
            <c:numRef>
              <c:f>Sheet1!$F$7:$K$7</c:f>
              <c:numCache>
                <c:formatCode>General</c:formatCode>
                <c:ptCount val="6"/>
                <c:pt idx="0">
                  <c:v>29</c:v>
                </c:pt>
                <c:pt idx="1">
                  <c:v>27</c:v>
                </c:pt>
                <c:pt idx="2">
                  <c:v>27</c:v>
                </c:pt>
                <c:pt idx="3">
                  <c:v>27</c:v>
                </c:pt>
                <c:pt idx="4">
                  <c:v>33</c:v>
                </c:pt>
                <c:pt idx="5">
                  <c:v>15</c:v>
                </c:pt>
              </c:numCache>
            </c:numRef>
          </c:val>
        </c:ser>
        <c:ser>
          <c:idx val="1"/>
          <c:order val="1"/>
          <c:tx>
            <c:strRef>
              <c:f>Sheet1!$E$8</c:f>
              <c:strCache>
                <c:ptCount val="1"/>
                <c:pt idx="0">
                  <c:v>Social Development</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elete val="1"/>
          </c:dLbls>
          <c:cat>
            <c:multiLvlStrRef>
              <c:f>Sheet1!$F$5:$K$6</c:f>
              <c:multiLvlStrCache>
                <c:ptCount val="6"/>
                <c:lvl>
                  <c:pt idx="0">
                    <c:v>Plan</c:v>
                  </c:pt>
                  <c:pt idx="1">
                    <c:v>Exec</c:v>
                  </c:pt>
                  <c:pt idx="2">
                    <c:v>Plan</c:v>
                  </c:pt>
                  <c:pt idx="3">
                    <c:v>Exec</c:v>
                  </c:pt>
                  <c:pt idx="4">
                    <c:v>Plan</c:v>
                  </c:pt>
                  <c:pt idx="5">
                    <c:v>Exec</c:v>
                  </c:pt>
                </c:lvl>
                <c:lvl>
                  <c:pt idx="0">
                    <c:v>2024</c:v>
                  </c:pt>
                  <c:pt idx="2">
                    <c:v>2025</c:v>
                  </c:pt>
                  <c:pt idx="4">
                    <c:v>1ST QTR 2026</c:v>
                  </c:pt>
                </c:lvl>
              </c:multiLvlStrCache>
            </c:multiLvlStrRef>
          </c:cat>
          <c:val>
            <c:numRef>
              <c:f>Sheet1!$F$8:$K$8</c:f>
              <c:numCache>
                <c:formatCode>General</c:formatCode>
                <c:ptCount val="6"/>
                <c:pt idx="0">
                  <c:v>72</c:v>
                </c:pt>
                <c:pt idx="1">
                  <c:v>69</c:v>
                </c:pt>
                <c:pt idx="2">
                  <c:v>44</c:v>
                </c:pt>
                <c:pt idx="3">
                  <c:v>42</c:v>
                </c:pt>
                <c:pt idx="4">
                  <c:v>76</c:v>
                </c:pt>
                <c:pt idx="5">
                  <c:v>31</c:v>
                </c:pt>
              </c:numCache>
            </c:numRef>
          </c:val>
        </c:ser>
        <c:ser>
          <c:idx val="2"/>
          <c:order val="2"/>
          <c:tx>
            <c:strRef>
              <c:f>Sheet1!$E$9</c:f>
              <c:strCache>
                <c:ptCount val="1"/>
                <c:pt idx="0">
                  <c:v>Environment, Infrastructure and Human Settlement</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elete val="1"/>
          </c:dLbls>
          <c:cat>
            <c:multiLvlStrRef>
              <c:f>Sheet1!$F$5:$K$6</c:f>
              <c:multiLvlStrCache>
                <c:ptCount val="6"/>
                <c:lvl>
                  <c:pt idx="0">
                    <c:v>Plan</c:v>
                  </c:pt>
                  <c:pt idx="1">
                    <c:v>Exec</c:v>
                  </c:pt>
                  <c:pt idx="2">
                    <c:v>Plan</c:v>
                  </c:pt>
                  <c:pt idx="3">
                    <c:v>Exec</c:v>
                  </c:pt>
                  <c:pt idx="4">
                    <c:v>Plan</c:v>
                  </c:pt>
                  <c:pt idx="5">
                    <c:v>Exec</c:v>
                  </c:pt>
                </c:lvl>
                <c:lvl>
                  <c:pt idx="0">
                    <c:v>2024</c:v>
                  </c:pt>
                  <c:pt idx="2">
                    <c:v>2025</c:v>
                  </c:pt>
                  <c:pt idx="4">
                    <c:v>1ST QTR 2026</c:v>
                  </c:pt>
                </c:lvl>
              </c:multiLvlStrCache>
            </c:multiLvlStrRef>
          </c:cat>
          <c:val>
            <c:numRef>
              <c:f>Sheet1!$F$9:$K$9</c:f>
              <c:numCache>
                <c:formatCode>General</c:formatCode>
                <c:ptCount val="6"/>
                <c:pt idx="0">
                  <c:v>25</c:v>
                </c:pt>
                <c:pt idx="1">
                  <c:v>20</c:v>
                </c:pt>
                <c:pt idx="2">
                  <c:v>49</c:v>
                </c:pt>
                <c:pt idx="3">
                  <c:v>47</c:v>
                </c:pt>
                <c:pt idx="4">
                  <c:v>36</c:v>
                </c:pt>
                <c:pt idx="5">
                  <c:v>7</c:v>
                </c:pt>
              </c:numCache>
            </c:numRef>
          </c:val>
        </c:ser>
        <c:ser>
          <c:idx val="3"/>
          <c:order val="3"/>
          <c:tx>
            <c:strRef>
              <c:f>Sheet1!$E$10</c:f>
              <c:strCache>
                <c:ptCount val="1"/>
                <c:pt idx="0">
                  <c:v>Emergency planning and response ( Including Covid-19 recovery plan)</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elete val="1"/>
          </c:dLbls>
          <c:cat>
            <c:multiLvlStrRef>
              <c:f>Sheet1!$F$5:$K$6</c:f>
              <c:multiLvlStrCache>
                <c:ptCount val="6"/>
                <c:lvl>
                  <c:pt idx="0">
                    <c:v>Plan</c:v>
                  </c:pt>
                  <c:pt idx="1">
                    <c:v>Exec</c:v>
                  </c:pt>
                  <c:pt idx="2">
                    <c:v>Plan</c:v>
                  </c:pt>
                  <c:pt idx="3">
                    <c:v>Exec</c:v>
                  </c:pt>
                  <c:pt idx="4">
                    <c:v>Plan</c:v>
                  </c:pt>
                  <c:pt idx="5">
                    <c:v>Exec</c:v>
                  </c:pt>
                </c:lvl>
                <c:lvl>
                  <c:pt idx="0">
                    <c:v>2024</c:v>
                  </c:pt>
                  <c:pt idx="2">
                    <c:v>2025</c:v>
                  </c:pt>
                  <c:pt idx="4">
                    <c:v>1ST QTR 2026</c:v>
                  </c:pt>
                </c:lvl>
              </c:multiLvlStrCache>
            </c:multiLvlStrRef>
          </c:cat>
          <c:val>
            <c:numRef>
              <c:f>Sheet1!$F$10:$K$10</c:f>
              <c:numCache>
                <c:formatCode>General</c:formatCode>
                <c:ptCount val="6"/>
                <c:pt idx="0">
                  <c:v>10</c:v>
                </c:pt>
                <c:pt idx="1">
                  <c:v>7</c:v>
                </c:pt>
                <c:pt idx="2">
                  <c:v>10</c:v>
                </c:pt>
                <c:pt idx="3">
                  <c:v>9</c:v>
                </c:pt>
                <c:pt idx="4">
                  <c:v>13</c:v>
                </c:pt>
                <c:pt idx="5">
                  <c:v>4</c:v>
                </c:pt>
              </c:numCache>
            </c:numRef>
          </c:val>
        </c:ser>
        <c:ser>
          <c:idx val="4"/>
          <c:order val="4"/>
          <c:tx>
            <c:strRef>
              <c:f>Sheet1!$E$11</c:f>
              <c:strCache>
                <c:ptCount val="1"/>
                <c:pt idx="0">
                  <c:v>Governance, Corruption and Public Accountability</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elete val="1"/>
          </c:dLbls>
          <c:cat>
            <c:multiLvlStrRef>
              <c:f>Sheet1!$F$5:$K$6</c:f>
              <c:multiLvlStrCache>
                <c:ptCount val="6"/>
                <c:lvl>
                  <c:pt idx="0">
                    <c:v>Plan</c:v>
                  </c:pt>
                  <c:pt idx="1">
                    <c:v>Exec</c:v>
                  </c:pt>
                  <c:pt idx="2">
                    <c:v>Plan</c:v>
                  </c:pt>
                  <c:pt idx="3">
                    <c:v>Exec</c:v>
                  </c:pt>
                  <c:pt idx="4">
                    <c:v>Plan</c:v>
                  </c:pt>
                  <c:pt idx="5">
                    <c:v>Exec</c:v>
                  </c:pt>
                </c:lvl>
                <c:lvl>
                  <c:pt idx="0">
                    <c:v>2024</c:v>
                  </c:pt>
                  <c:pt idx="2">
                    <c:v>2025</c:v>
                  </c:pt>
                  <c:pt idx="4">
                    <c:v>1ST QTR 2026</c:v>
                  </c:pt>
                </c:lvl>
              </c:multiLvlStrCache>
            </c:multiLvlStrRef>
          </c:cat>
          <c:val>
            <c:numRef>
              <c:f>Sheet1!$F$11:$K$11</c:f>
              <c:numCache>
                <c:formatCode>General</c:formatCode>
                <c:ptCount val="6"/>
                <c:pt idx="0">
                  <c:v>8</c:v>
                </c:pt>
                <c:pt idx="1">
                  <c:v>8</c:v>
                </c:pt>
                <c:pt idx="2">
                  <c:v>17</c:v>
                </c:pt>
                <c:pt idx="3">
                  <c:v>16</c:v>
                </c:pt>
                <c:pt idx="4">
                  <c:v>29</c:v>
                </c:pt>
                <c:pt idx="5">
                  <c:v>16</c:v>
                </c:pt>
              </c:numCache>
            </c:numRef>
          </c:val>
        </c:ser>
        <c:ser>
          <c:idx val="5"/>
          <c:order val="5"/>
          <c:tx>
            <c:strRef>
              <c:f>Sheet1!$E$12</c:f>
              <c:strCache>
                <c:ptCount val="1"/>
                <c:pt idx="0">
                  <c:v>Implementation, Co-ordinating  Monitoring &amp; Evaluation</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elete val="1"/>
          </c:dLbls>
          <c:cat>
            <c:multiLvlStrRef>
              <c:f>Sheet1!$F$5:$K$6</c:f>
              <c:multiLvlStrCache>
                <c:ptCount val="6"/>
                <c:lvl>
                  <c:pt idx="0">
                    <c:v>Plan</c:v>
                  </c:pt>
                  <c:pt idx="1">
                    <c:v>Exec</c:v>
                  </c:pt>
                  <c:pt idx="2">
                    <c:v>Plan</c:v>
                  </c:pt>
                  <c:pt idx="3">
                    <c:v>Exec</c:v>
                  </c:pt>
                  <c:pt idx="4">
                    <c:v>Plan</c:v>
                  </c:pt>
                  <c:pt idx="5">
                    <c:v>Exec</c:v>
                  </c:pt>
                </c:lvl>
                <c:lvl>
                  <c:pt idx="0">
                    <c:v>2024</c:v>
                  </c:pt>
                  <c:pt idx="2">
                    <c:v>2025</c:v>
                  </c:pt>
                  <c:pt idx="4">
                    <c:v>1ST QTR 2026</c:v>
                  </c:pt>
                </c:lvl>
              </c:multiLvlStrCache>
            </c:multiLvlStrRef>
          </c:cat>
          <c:val>
            <c:numRef>
              <c:f>Sheet1!$F$12:$K$12</c:f>
              <c:numCache>
                <c:formatCode>General</c:formatCode>
                <c:ptCount val="6"/>
                <c:pt idx="0">
                  <c:v>31</c:v>
                </c:pt>
                <c:pt idx="1">
                  <c:v>27</c:v>
                </c:pt>
                <c:pt idx="2">
                  <c:v>13</c:v>
                </c:pt>
                <c:pt idx="3">
                  <c:v>12</c:v>
                </c:pt>
                <c:pt idx="4">
                  <c:v>17</c:v>
                </c:pt>
                <c:pt idx="5">
                  <c:v>10</c:v>
                </c:pt>
              </c:numCache>
            </c:numRef>
          </c:val>
        </c:ser>
        <c:dLbls>
          <c:showLegendKey val="0"/>
          <c:showVal val="0"/>
          <c:showCatName val="0"/>
          <c:showSerName val="0"/>
          <c:showPercent val="0"/>
          <c:showBubbleSize val="0"/>
        </c:dLbls>
        <c:gapWidth val="65"/>
        <c:axId val="39658176"/>
        <c:axId val="1829191472"/>
      </c:barChart>
      <c:catAx>
        <c:axId val="396581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p>
        </c:txPr>
        <c:crossAx val="1829191472"/>
        <c:crosses val="autoZero"/>
        <c:auto val="1"/>
        <c:lblAlgn val="ctr"/>
        <c:lblOffset val="100"/>
        <c:noMultiLvlLbl val="0"/>
      </c:catAx>
      <c:valAx>
        <c:axId val="18291914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crossAx val="39658176"/>
        <c:crosses val="autoZero"/>
        <c:crossBetween val="between"/>
      </c:valAx>
      <c:spPr>
        <a:noFill/>
        <a:ln>
          <a:noFill/>
        </a:ln>
        <a:effectLst/>
      </c:spPr>
    </c:plotArea>
    <c:legend>
      <c:legendPos val="b"/>
      <c:layout>
        <c:manualLayout>
          <c:xMode val="edge"/>
          <c:yMode val="edge"/>
          <c:x val="0.00211430956702782"/>
          <c:y val="0.767053887065373"/>
          <c:w val="0.969775651592896"/>
          <c:h val="0.21200735879049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9bbebc1c-9126-4074-bad9-0d56d14944dc}"/>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charset="0"/>
                <a:cs typeface="Times New Roman" panose="02020603050405020304" charset="0"/>
              </a:rPr>
              <a:t>LEVEL OF IMPLEMENTATION OF THE 2026 AAP</a:t>
            </a:r>
            <a:endParaRPr lang="en-US" b="1">
              <a:solidFill>
                <a:sysClr val="windowText" lastClr="000000"/>
              </a:solidFill>
              <a:latin typeface="Times New Roman" panose="02020603050405020304" charset="0"/>
              <a:cs typeface="Times New Roman" panose="02020603050405020304" charset="0"/>
            </a:endParaRPr>
          </a:p>
        </c:rich>
      </c:tx>
      <c:layout>
        <c:manualLayout>
          <c:xMode val="edge"/>
          <c:yMode val="edge"/>
          <c:x val="0.147647308181433"/>
          <c:y val="0.00462971835034579"/>
        </c:manualLayout>
      </c:layout>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408215988336558"/>
          <c:y val="0.243667250970866"/>
          <c:w val="0.943303131596845"/>
          <c:h val="0.693565514403756"/>
        </c:manualLayout>
      </c:layout>
      <c:pie3DChart>
        <c:varyColors val="1"/>
        <c:ser>
          <c:idx val="0"/>
          <c:order val="0"/>
          <c:spPr/>
          <c:explosion val="0"/>
          <c:dPt>
            <c:idx val="0"/>
            <c:bubble3D val="0"/>
            <c:spPr>
              <a:solidFill>
                <a:srgbClr val="00B050"/>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rgbClr val="FFFF00"/>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rgbClr val="FF0000"/>
              </a:solidFill>
              <a:ln w="25400">
                <a:solidFill>
                  <a:schemeClr val="lt1"/>
                </a:solidFill>
              </a:ln>
              <a:effectLst/>
              <a:scene3d>
                <a:camera prst="orthographicFront"/>
                <a:lightRig rig="threePt" dir="t"/>
              </a:scene3d>
              <a:sp3d contourW="25400">
                <a:contourClr>
                  <a:schemeClr val="lt1"/>
                </a:contourClr>
              </a:sp3d>
            </c:spPr>
          </c:dPt>
          <c:dLbls>
            <c:dLbl>
              <c:idx val="0"/>
              <c:layout>
                <c:manualLayout>
                  <c:x val="-0.0484622327347422"/>
                  <c:y val="0.0744619048153931"/>
                </c:manualLayout>
              </c:layout>
              <c:tx>
                <c:rich>
                  <a:bodyPr rot="0" spcFirstLastPara="1" vertOverflow="ellipsis" vert="horz" wrap="square" lIns="38100" tIns="19050" rIns="38100" bIns="19050" anchor="ctr" anchorCtr="1"/>
                  <a:lstStyle/>
                  <a:p>
                    <a:pPr defTabSz="914400">
                      <a:defRPr lang="en-US" sz="900" b="0" i="0" u="none" strike="noStrike" kern="1200" baseline="0">
                        <a:solidFill>
                          <a:schemeClr val="tx1">
                            <a:lumMod val="75000"/>
                            <a:lumOff val="25000"/>
                          </a:schemeClr>
                        </a:solidFill>
                        <a:latin typeface="+mn-lt"/>
                        <a:ea typeface="+mn-ea"/>
                        <a:cs typeface="+mn-cs"/>
                      </a:defRPr>
                    </a:pPr>
                    <a:fld id="{adae51b8-c59b-4ff0-a1a4-42948cfe2a3c}" type="CATEGORYNAME">
                      <a:t>[CATEGORY NAME]</a:t>
                    </a:fld>
                    <a:endParaRP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344858455810613"/>
                  <c:y val="0.142190010812367"/>
                </c:manualLayout>
              </c:layout>
              <c:tx>
                <c:rich>
                  <a:bodyPr rot="0" spcFirstLastPara="1" vertOverflow="ellipsis" vert="horz" wrap="square" lIns="38100" tIns="19050" rIns="38100" bIns="19050" anchor="ctr" anchorCtr="1"/>
                  <a:lstStyle/>
                  <a:p>
                    <a:pPr defTabSz="914400">
                      <a:defRPr lang="en-US" sz="900" b="0" i="0" u="none" strike="noStrike" kern="1200" baseline="0">
                        <a:solidFill>
                          <a:schemeClr val="tx1">
                            <a:lumMod val="75000"/>
                            <a:lumOff val="25000"/>
                          </a:schemeClr>
                        </a:solidFill>
                        <a:latin typeface="+mn-lt"/>
                        <a:ea typeface="+mn-ea"/>
                        <a:cs typeface="+mn-cs"/>
                      </a:defRPr>
                    </a:pPr>
                    <a:fld id="{859ba516-9f28-4037-bc25-b21ac38517bd}" type="CATEGORYNAME">
                      <a:t>[CATEGORY NAME]</a:t>
                    </a:fld>
                    <a:endParaRP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25959051112676"/>
                  <c:y val="-0.133354939437152"/>
                </c:manualLayout>
              </c:layout>
              <c:tx>
                <c:rich>
                  <a:bodyPr rot="0" spcFirstLastPara="1" vertOverflow="ellipsis" vert="horz" wrap="square" lIns="38100" tIns="19050" rIns="38100" bIns="19050" anchor="ctr" anchorCtr="1">
                    <a:noAutofit/>
                  </a:bodyPr>
                  <a:lstStyle/>
                  <a:p>
                    <a:pPr defTabSz="914400">
                      <a:defRPr lang="en-US" sz="900" b="0" i="0" u="none" strike="noStrike" kern="1200" baseline="0">
                        <a:solidFill>
                          <a:schemeClr val="tx1">
                            <a:lumMod val="75000"/>
                            <a:lumOff val="25000"/>
                          </a:schemeClr>
                        </a:solidFill>
                        <a:latin typeface="+mn-lt"/>
                        <a:ea typeface="+mn-ea"/>
                        <a:cs typeface="+mn-cs"/>
                      </a:defRPr>
                    </a:pPr>
                    <a:fld id="{802e6c2e-5753-4638-a57f-86dd0072ec55}" type="CATEGORYNAME">
                      <a:t>[CATEGORY NAME]</a:t>
                    </a:fld>
                    <a:endParaRPr/>
                  </a:p>
                </c:rich>
              </c:tx>
              <c:numFmt formatCode="General" sourceLinked="1"/>
              <c:spPr>
                <a:noFill/>
                <a:ln>
                  <a:noFill/>
                </a:ln>
                <a:effectLst/>
              </c:spPr>
              <c:txPr>
                <a:bodyPr rot="0" spcFirstLastPara="1" vertOverflow="ellipsis" vert="horz" wrap="square" lIns="38100" tIns="19050" rIns="38100" bIns="19050" anchor="ctr" anchorCtr="1">
                  <a:noAutofit/>
                </a:bodyPr>
                <a:lstStyle/>
                <a:p>
                  <a:pPr>
                    <a:defRPr lang="en-US"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09781770602117"/>
                      <c:h val="0.367788117394417"/>
                    </c:manualLayout>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Sheet1!$D$6:$D$8</c:f>
              <c:strCache>
                <c:ptCount val="3"/>
                <c:pt idx="0">
                  <c:v>Percentage completed</c:v>
                </c:pt>
                <c:pt idx="1">
                  <c:v>Percentage of ongoing interventions</c:v>
                </c:pt>
                <c:pt idx="2">
                  <c:v>Percentage of interventions yet to start</c:v>
                </c:pt>
              </c:strCache>
            </c:strRef>
          </c:cat>
          <c:val>
            <c:numRef>
              <c:f>Sheet1!$E$6:$E$8</c:f>
              <c:numCache>
                <c:formatCode>0.00%</c:formatCode>
                <c:ptCount val="3"/>
                <c:pt idx="0">
                  <c:v>0.044</c:v>
                </c:pt>
                <c:pt idx="1">
                  <c:v>0.407</c:v>
                </c:pt>
                <c:pt idx="2">
                  <c:v>0.549</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ea5cb0-bec1-4732-bd7b-eefa85b61b7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en-US"/>
              <a:t>PROPORTION OF THE 2026 ANNUAL ACTION PLAN (AAP) IMPLEMENTED</a:t>
            </a:r>
            <a:endParaRPr lang="en-US"/>
          </a:p>
        </c:rich>
      </c:tx>
      <c:layout>
        <c:manualLayout>
          <c:xMode val="edge"/>
          <c:yMode val="edge"/>
          <c:x val="0.114420621933804"/>
          <c:y val="0.0231481481481481"/>
        </c:manualLayout>
      </c:layout>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246041410336839"/>
          <c:y val="0.291435185185185"/>
          <c:w val="0.950791717932632"/>
          <c:h val="0.653009259259259"/>
        </c:manualLayout>
      </c:layout>
      <c:pie3DChart>
        <c:varyColors val="1"/>
        <c:ser>
          <c:idx val="0"/>
          <c:order val="0"/>
          <c:spPr/>
          <c:explosion val="0"/>
          <c:dPt>
            <c:idx val="0"/>
            <c:bubble3D val="0"/>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fld id="{5dd0520a-3663-44e0-857b-df7655b93d26}" type="CATEGORYNAME">
                      <a:t>[CATEGORY NAME]</a:t>
                    </a:fld>
                    <a:endParaRPr lang="en-US" baseline="0">
                      <a:solidFill>
                        <a:sysClr val="windowText" lastClr="000000"/>
                      </a:solidFill>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fld id="{96bf3bd0-8f5d-4e01-b078-71b091ca5418}" type="CATEGORYNAME">
                      <a:t>[CATEGORY NAME]</a:t>
                    </a:fld>
                    <a:endParaRPr lang="en-US" b="1" baseline="0">
                      <a:solidFill>
                        <a:sysClr val="windowText" lastClr="000000"/>
                      </a:solidFill>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Sheet1!$D$17:$D$18</c:f>
              <c:strCache>
                <c:ptCount val="2"/>
                <c:pt idx="0">
                  <c:v>IMPLEMENTED</c:v>
                </c:pt>
                <c:pt idx="1">
                  <c:v>YET TO START</c:v>
                </c:pt>
              </c:strCache>
            </c:strRef>
          </c:cat>
          <c:val>
            <c:numRef>
              <c:f>Sheet1!$E$17:$E$18</c:f>
              <c:numCache>
                <c:formatCode>0.00%</c:formatCode>
                <c:ptCount val="2"/>
                <c:pt idx="0">
                  <c:v>0.1</c:v>
                </c:pt>
                <c:pt idx="1">
                  <c:v>0.9</c:v>
                </c:pt>
              </c:numCache>
            </c:numRef>
          </c:val>
        </c:ser>
        <c:dLbls>
          <c:showLegendKey val="0"/>
          <c:showVal val="0"/>
          <c:showCatName val="0"/>
          <c:showSerName val="0"/>
          <c:showPercent val="1"/>
          <c:showBubbleSize val="0"/>
        </c:dLbls>
      </c:pie3DChart>
      <c:spPr>
        <a:noFill/>
        <a:ln>
          <a:noFill/>
        </a:ln>
        <a:effectLst/>
      </c:spPr>
    </c:plotArea>
    <c:plotVisOnly val="1"/>
    <c:dispBlanksAs val="gap"/>
    <c:showDLblsOverMax val="0"/>
    <c:extLst>
      <c:ext uri="{0b15fc19-7d7d-44ad-8c2d-2c3a37ce22c3}">
        <chartProps xmlns="https://web.wps.cn/et/2018/main" chartId="{bb720a14-e059-45fc-8373-000f639f1ae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en-US"/>
              <a:t>PROPORTION OF THE 2026-2029 MEDIUM TERM PLAN IMPLEMENTED</a:t>
            </a:r>
            <a:endParaRPr lang="en-US"/>
          </a:p>
        </c:rich>
      </c:tx>
      <c:layout>
        <c:manualLayout>
          <c:xMode val="edge"/>
          <c:yMode val="edge"/>
          <c:x val="0.128385685135893"/>
          <c:y val="0.0231481481481481"/>
        </c:manualLayout>
      </c:layout>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851034430312979"/>
          <c:y val="0.280352872557597"/>
          <c:w val="0.88938419582377"/>
          <c:h val="0.62012758821814"/>
        </c:manualLayout>
      </c:layout>
      <c:pie3DChart>
        <c:varyColors val="1"/>
        <c:ser>
          <c:idx val="0"/>
          <c:order val="0"/>
          <c:spPr/>
          <c:explosion val="0"/>
          <c:dPt>
            <c:idx val="0"/>
            <c:bubble3D val="0"/>
            <c:explosion val="3"/>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0719202712421658"/>
                  <c:y val="0.0416666666666667"/>
                </c:manualLayout>
              </c:layout>
              <c:tx>
                <c:rich>
                  <a:bodyPr rot="0" spcFirstLastPara="1" vertOverflow="ellipsis" vert="horz" wrap="square" lIns="38100" tIns="19050" rIns="38100" bIns="19050" anchor="ctr" anchorCtr="1">
                    <a:spAutoFit/>
                  </a:bodyPr>
                  <a:lstStyle/>
                  <a:p>
                    <a:pPr defTabSz="914400">
                      <a:defRPr lang="en-US" sz="1000" b="1" i="0" u="none" strike="noStrike" kern="1200" spc="0" baseline="0">
                        <a:solidFill>
                          <a:schemeClr val="accent1"/>
                        </a:solidFill>
                        <a:latin typeface="+mn-lt"/>
                        <a:ea typeface="+mn-ea"/>
                        <a:cs typeface="+mn-cs"/>
                      </a:defRPr>
                    </a:pPr>
                    <a:fld id="{34a895c7-0118-4849-86de-5da849b90aa6}" type="CATEGORYNAME">
                      <a:t>[CATEGORY NAME]</a:t>
                    </a:fld>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1" vertOverflow="ellipsis" vert="horz" wrap="square" lIns="38100" tIns="19050" rIns="38100" bIns="19050" anchor="ctr" anchorCtr="1">
                    <a:spAutoFit/>
                  </a:bodyPr>
                  <a:lstStyle/>
                  <a:p>
                    <a:pPr defTabSz="914400">
                      <a:defRPr lang="en-US" sz="1000" b="1" i="0" u="none" strike="noStrike" kern="1200" spc="0" baseline="0">
                        <a:solidFill>
                          <a:schemeClr val="accent1"/>
                        </a:solidFill>
                        <a:latin typeface="+mn-lt"/>
                        <a:ea typeface="+mn-ea"/>
                        <a:cs typeface="+mn-cs"/>
                      </a:defRPr>
                    </a:pPr>
                    <a:fld id="{20c36d9c-97ee-4dc7-b026-b66b0b7535c7}" type="CATEGORYNAME">
                      <a:t>[CATEGORY NAME]</a:t>
                    </a:fld>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Sheet1!$D$17:$D$18</c:f>
              <c:strCache>
                <c:ptCount val="2"/>
                <c:pt idx="0">
                  <c:v>IMPLEMENTED</c:v>
                </c:pt>
                <c:pt idx="1">
                  <c:v>YET TO START</c:v>
                </c:pt>
              </c:strCache>
            </c:strRef>
          </c:cat>
          <c:val>
            <c:numRef>
              <c:f>Sheet1!$E$17:$E$18</c:f>
              <c:numCache>
                <c:formatCode>0.00%</c:formatCode>
                <c:ptCount val="2"/>
                <c:pt idx="0">
                  <c:v>0.1</c:v>
                </c:pt>
                <c:pt idx="1">
                  <c:v>0.9</c:v>
                </c:pt>
              </c:numCache>
            </c:numRef>
          </c:val>
        </c:ser>
        <c:dLbls>
          <c:showLegendKey val="0"/>
          <c:showVal val="0"/>
          <c:showCatName val="0"/>
          <c:showSerName val="0"/>
          <c:showPercent val="1"/>
          <c:showBubbleSize val="0"/>
        </c:dLbls>
      </c:pie3DChart>
      <c:spPr>
        <a:noFill/>
        <a:ln>
          <a:noFill/>
        </a:ln>
        <a:effectLst/>
      </c:spPr>
    </c:plotArea>
    <c:plotVisOnly val="1"/>
    <c:dispBlanksAs val="gap"/>
    <c:showDLblsOverMax val="0"/>
    <c:extLst>
      <c:ext uri="{0b15fc19-7d7d-44ad-8c2d-2c3a37ce22c3}">
        <chartProps xmlns="https://web.wps.cn/et/2018/main" chartId="{1cfaa76b-2fd7-413b-b62b-eb3a3b5fe349}"/>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800" b="1" i="0" u="none" strike="noStrike" kern="1200" baseline="0">
                <a:solidFill>
                  <a:sysClr val="windowText" lastClr="000000">
                    <a:lumMod val="75000"/>
                    <a:lumOff val="25000"/>
                  </a:sysClr>
                </a:solidFill>
                <a:latin typeface="+mn-lt"/>
                <a:ea typeface="+mn-ea"/>
                <a:cs typeface="+mn-cs"/>
              </a:defRPr>
            </a:pPr>
            <a:r>
              <a:rPr lang="en-GB" sz="1800" b="1" i="0" u="none" strike="noStrike" kern="1200" cap="all" baseline="0">
                <a:solidFill>
                  <a:sysClr val="windowText" lastClr="000000">
                    <a:lumMod val="65000"/>
                    <a:lumOff val="35000"/>
                  </a:sysClr>
                </a:solidFill>
                <a:effectLst/>
              </a:rPr>
              <a:t>STATUS OF IMPLEMENTATION OF PHYSICAL PROJECTS</a:t>
            </a:r>
            <a:endParaRPr lang="en-US" sz="1600" b="1" i="0" u="none" strike="noStrike" kern="1200" cap="all" baseline="0">
              <a:solidFill>
                <a:sysClr val="windowText" lastClr="000000">
                  <a:lumMod val="65000"/>
                  <a:lumOff val="35000"/>
                </a:sysClr>
              </a:solidFill>
              <a:effectLst/>
            </a:endParaRPr>
          </a:p>
        </c:rich>
      </c:tx>
      <c:layout/>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dPt>
          <c:dPt>
            <c:idx val="1"/>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Sheet1!$I$17:$I$18</c:f>
              <c:strCache>
                <c:ptCount val="2"/>
                <c:pt idx="0">
                  <c:v>ON-GOING</c:v>
                </c:pt>
                <c:pt idx="1">
                  <c:v>COMPLETED</c:v>
                </c:pt>
              </c:strCache>
            </c:strRef>
          </c:cat>
          <c:val>
            <c:numRef>
              <c:f>Sheet1!$J$17:$J$18</c:f>
              <c:numCache>
                <c:formatCode>General</c:formatCode>
                <c:ptCount val="2"/>
                <c:pt idx="0">
                  <c:v>19</c:v>
                </c:pt>
                <c:pt idx="1">
                  <c:v>6</c:v>
                </c:pt>
              </c:numCache>
            </c:numRef>
          </c:val>
        </c:ser>
        <c:dLbls>
          <c:showLegendKey val="0"/>
          <c:showVal val="0"/>
          <c:showCatName val="1"/>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38ce65d2-eabd-4b8a-ad56-a4234f270b8c}"/>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800" b="1" i="0" u="none" strike="noStrike" kern="1200" baseline="0">
                <a:solidFill>
                  <a:sysClr val="windowText" lastClr="000000">
                    <a:lumMod val="75000"/>
                    <a:lumOff val="25000"/>
                  </a:sysClr>
                </a:solidFill>
                <a:latin typeface="+mn-lt"/>
                <a:ea typeface="+mn-ea"/>
                <a:cs typeface="+mn-cs"/>
              </a:defRPr>
            </a:pPr>
            <a:r>
              <a:rPr lang="en-US" sz="1800" b="1" i="0" baseline="0">
                <a:effectLst/>
              </a:rPr>
              <a:t>UPDATE ON REVENUE INFLOW OF THE ASSEMBLY</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defRPr lang="en-US" sz="1800" b="1" i="0" u="none" strike="noStrike" kern="1200" baseline="0">
                <a:solidFill>
                  <a:sysClr val="windowText" lastClr="000000">
                    <a:lumMod val="75000"/>
                    <a:lumOff val="25000"/>
                  </a:sysClr>
                </a:solidFill>
                <a:latin typeface="+mn-lt"/>
                <a:ea typeface="+mn-ea"/>
                <a:cs typeface="+mn-cs"/>
              </a:defRPr>
            </a:pPr>
            <a:endParaRPr lang="en-US"/>
          </a:p>
        </c:rich>
      </c:tx>
      <c:layout/>
      <c:overlay val="0"/>
      <c:spPr>
        <a:noFill/>
        <a:ln>
          <a:noFill/>
        </a:ln>
        <a:effectLst/>
      </c:spPr>
    </c:title>
    <c:autoTitleDeleted val="0"/>
    <c:plotArea>
      <c:layout/>
      <c:barChart>
        <c:barDir val="col"/>
        <c:grouping val="clustered"/>
        <c:varyColors val="0"/>
        <c:ser>
          <c:idx val="0"/>
          <c:order val="0"/>
          <c:tx>
            <c:strRef>
              <c:f>Sheet1!$E$8</c:f>
              <c:strCache>
                <c:ptCount val="1"/>
                <c:pt idx="0">
                  <c:v>GOG SALARIES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Sheet1!$F$8:$J$8</c:f>
              <c:numCache>
                <c:formatCode>#,##0.00</c:formatCode>
                <c:ptCount val="5"/>
                <c:pt idx="0">
                  <c:v>6915429.1</c:v>
                </c:pt>
                <c:pt idx="1">
                  <c:v>9029781</c:v>
                </c:pt>
                <c:pt idx="2">
                  <c:v>7369027.44</c:v>
                </c:pt>
                <c:pt idx="3">
                  <c:v>11029789</c:v>
                </c:pt>
                <c:pt idx="4">
                  <c:v>2757445.26</c:v>
                </c:pt>
              </c:numCache>
            </c:numRef>
          </c:val>
        </c:ser>
        <c:ser>
          <c:idx val="1"/>
          <c:order val="1"/>
          <c:tx>
            <c:strRef>
              <c:f>Sheet1!$E$9</c:f>
              <c:strCache>
                <c:ptCount val="1"/>
                <c:pt idx="0">
                  <c:v>GOG TRANSFERS</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Sheet1!$F$9:$J$9</c:f>
              <c:numCache>
                <c:formatCode>#,##0.00</c:formatCode>
                <c:ptCount val="5"/>
                <c:pt idx="0">
                  <c:v>3058142.13</c:v>
                </c:pt>
                <c:pt idx="1">
                  <c:v>101500</c:v>
                </c:pt>
                <c:pt idx="2">
                  <c:v>31390.48</c:v>
                </c:pt>
                <c:pt idx="3">
                  <c:v>56205</c:v>
                </c:pt>
                <c:pt idx="4" c:formatCode="General">
                  <c:v>0</c:v>
                </c:pt>
              </c:numCache>
            </c:numRef>
          </c:val>
        </c:ser>
        <c:ser>
          <c:idx val="2"/>
          <c:order val="2"/>
          <c:tx>
            <c:strRef>
              <c:f>Sheet1!$E$10</c:f>
              <c:strCache>
                <c:ptCount val="1"/>
                <c:pt idx="0">
                  <c:v>IGF</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Sheet1!$F$10:$J$10</c:f>
              <c:numCache>
                <c:formatCode>#,##0.00</c:formatCode>
                <c:ptCount val="5"/>
                <c:pt idx="0">
                  <c:v>9137591.38</c:v>
                </c:pt>
                <c:pt idx="1">
                  <c:v>8822567.42</c:v>
                </c:pt>
                <c:pt idx="2">
                  <c:v>4835892.97</c:v>
                </c:pt>
                <c:pt idx="3">
                  <c:v>4149419.78</c:v>
                </c:pt>
                <c:pt idx="4">
                  <c:v>3536049.63</c:v>
                </c:pt>
              </c:numCache>
            </c:numRef>
          </c:val>
        </c:ser>
        <c:ser>
          <c:idx val="3"/>
          <c:order val="3"/>
          <c:tx>
            <c:strRef>
              <c:f>Sheet1!$E$11</c:f>
              <c:strCache>
                <c:ptCount val="1"/>
                <c:pt idx="0">
                  <c:v>MINERAL ROYALTIES</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Sheet1!$F$11:$J$11</c:f>
              <c:numCache>
                <c:formatCode>#,##0.00</c:formatCode>
                <c:ptCount val="5"/>
                <c:pt idx="0">
                  <c:v>4802637.53</c:v>
                </c:pt>
                <c:pt idx="1">
                  <c:v>1000037.38</c:v>
                </c:pt>
                <c:pt idx="2">
                  <c:v>1014523.23</c:v>
                </c:pt>
                <c:pt idx="3">
                  <c:v>5773547.46</c:v>
                </c:pt>
                <c:pt idx="4">
                  <c:v>1192546.26</c:v>
                </c:pt>
              </c:numCache>
            </c:numRef>
          </c:val>
        </c:ser>
        <c:ser>
          <c:idx val="4"/>
          <c:order val="4"/>
          <c:tx>
            <c:strRef>
              <c:f>Sheet1!$E$12</c:f>
              <c:strCache>
                <c:ptCount val="1"/>
                <c:pt idx="0">
                  <c:v>DACF</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Sheet1!$F$12:$J$12</c:f>
              <c:numCache>
                <c:formatCode>#,##0.00</c:formatCode>
                <c:ptCount val="5"/>
                <c:pt idx="0">
                  <c:v>1254191.08</c:v>
                </c:pt>
                <c:pt idx="1">
                  <c:v>3579741.58</c:v>
                </c:pt>
                <c:pt idx="2">
                  <c:v>9406075.37</c:v>
                </c:pt>
                <c:pt idx="3">
                  <c:v>26067098.6</c:v>
                </c:pt>
                <c:pt idx="4" c:formatCode="General">
                  <c:v>0</c:v>
                </c:pt>
              </c:numCache>
            </c:numRef>
          </c:val>
        </c:ser>
        <c:ser>
          <c:idx val="5"/>
          <c:order val="5"/>
          <c:tx>
            <c:strRef>
              <c:f>Sheet1!$E$13</c:f>
              <c:strCache>
                <c:ptCount val="1"/>
                <c:pt idx="0">
                  <c:v>MP’s CF</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Sheet1!$F$13:$J$13</c:f>
              <c:numCache>
                <c:formatCode>#,##0.00</c:formatCode>
                <c:ptCount val="5"/>
                <c:pt idx="0">
                  <c:v>433933.45</c:v>
                </c:pt>
                <c:pt idx="1">
                  <c:v>400000</c:v>
                </c:pt>
                <c:pt idx="2">
                  <c:v>777954.02</c:v>
                </c:pt>
                <c:pt idx="3">
                  <c:v>1021447.16</c:v>
                </c:pt>
                <c:pt idx="4">
                  <c:v>360667.21</c:v>
                </c:pt>
              </c:numCache>
            </c:numRef>
          </c:val>
        </c:ser>
        <c:ser>
          <c:idx val="6"/>
          <c:order val="6"/>
          <c:tx>
            <c:strRef>
              <c:f>Sheet1!$E$14</c:f>
              <c:strCache>
                <c:ptCount val="1"/>
                <c:pt idx="0">
                  <c:v>PWDs CF</c:v>
                </c:pt>
              </c:strCache>
            </c:strRef>
          </c:tx>
          <c:spPr>
            <a:solidFill>
              <a:schemeClr val="accent1">
                <a:lumMod val="60000"/>
                <a:alpha val="85000"/>
              </a:schemeClr>
            </a:solidFill>
            <a:ln w="9525" cap="flat" cmpd="sng" algn="ctr">
              <a:solidFill>
                <a:schemeClr val="accent1">
                  <a:lumMod val="60000"/>
                  <a:lumMod val="75000"/>
                </a:schemeClr>
              </a:solidFill>
              <a:round/>
            </a:ln>
            <a:effectLst/>
            <a:sp3d contourW="9525">
              <a:contourClr>
                <a:schemeClr val="accent1">
                  <a:lumMod val="6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Sheet1!$F$14:$J$14</c:f>
              <c:numCache>
                <c:formatCode>#,##0.00</c:formatCode>
                <c:ptCount val="5"/>
                <c:pt idx="0">
                  <c:v>269119</c:v>
                </c:pt>
                <c:pt idx="1">
                  <c:v>300000</c:v>
                </c:pt>
                <c:pt idx="2">
                  <c:v>553513.05</c:v>
                </c:pt>
                <c:pt idx="3">
                  <c:v>673421.62</c:v>
                </c:pt>
                <c:pt idx="4" c:formatCode="General">
                  <c:v>0</c:v>
                </c:pt>
              </c:numCache>
            </c:numRef>
          </c:val>
        </c:ser>
        <c:ser>
          <c:idx val="7"/>
          <c:order val="7"/>
          <c:tx>
            <c:strRef>
              <c:f>Sheet1!$E$15</c:f>
              <c:strCache>
                <c:ptCount val="1"/>
                <c:pt idx="0">
                  <c:v>MSHAP</c:v>
                </c:pt>
              </c:strCache>
            </c:strRef>
          </c:tx>
          <c:spPr>
            <a:solidFill>
              <a:schemeClr val="accent2">
                <a:lumMod val="60000"/>
                <a:alpha val="85000"/>
              </a:schemeClr>
            </a:solidFill>
            <a:ln w="9525" cap="flat" cmpd="sng" algn="ctr">
              <a:solidFill>
                <a:schemeClr val="accent2">
                  <a:lumMod val="60000"/>
                  <a:lumMod val="75000"/>
                </a:schemeClr>
              </a:solidFill>
              <a:round/>
            </a:ln>
            <a:effectLst/>
            <a:sp3d contourW="9525">
              <a:contourClr>
                <a:schemeClr val="accent2">
                  <a:lumMod val="6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Sheet1!$F$15:$J$15</c:f>
              <c:numCache>
                <c:formatCode>#,##0.00</c:formatCode>
                <c:ptCount val="5"/>
                <c:pt idx="0">
                  <c:v>6659.64</c:v>
                </c:pt>
                <c:pt idx="1">
                  <c:v>20000</c:v>
                </c:pt>
                <c:pt idx="2">
                  <c:v>39724.9</c:v>
                </c:pt>
                <c:pt idx="3">
                  <c:v>112236.94</c:v>
                </c:pt>
                <c:pt idx="4">
                  <c:v>247000</c:v>
                </c:pt>
              </c:numCache>
            </c:numRef>
          </c:val>
        </c:ser>
        <c:ser>
          <c:idx val="8"/>
          <c:order val="8"/>
          <c:tx>
            <c:strRef>
              <c:f>Sheet1!$E$16</c:f>
              <c:strCache>
                <c:ptCount val="1"/>
                <c:pt idx="0">
                  <c:v>DACF-RFG</c:v>
                </c:pt>
              </c:strCache>
            </c:strRef>
          </c:tx>
          <c:spPr>
            <a:solidFill>
              <a:schemeClr val="accent3">
                <a:lumMod val="60000"/>
                <a:alpha val="85000"/>
              </a:schemeClr>
            </a:solidFill>
            <a:ln w="9525" cap="flat" cmpd="sng" algn="ctr">
              <a:solidFill>
                <a:schemeClr val="accent3">
                  <a:lumMod val="60000"/>
                  <a:lumMod val="75000"/>
                </a:schemeClr>
              </a:solidFill>
              <a:round/>
            </a:ln>
            <a:effectLst/>
            <a:sp3d contourW="9525">
              <a:contourClr>
                <a:schemeClr val="accent3">
                  <a:lumMod val="6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Sheet1!$F$16:$J$16</c:f>
              <c:numCache>
                <c:formatCode>#,##0.00</c:formatCode>
                <c:ptCount val="5"/>
                <c:pt idx="0">
                  <c:v>475705</c:v>
                </c:pt>
                <c:pt idx="1">
                  <c:v>90000</c:v>
                </c:pt>
                <c:pt idx="2" c:formatCode="General">
                  <c:v>0</c:v>
                </c:pt>
                <c:pt idx="3">
                  <c:v>8863690</c:v>
                </c:pt>
                <c:pt idx="4" c:formatCode="General">
                  <c:v>0</c:v>
                </c:pt>
              </c:numCache>
            </c:numRef>
          </c:val>
        </c:ser>
        <c:ser>
          <c:idx val="9"/>
          <c:order val="9"/>
          <c:tx>
            <c:strRef>
              <c:f>Sheet1!$E$17</c:f>
              <c:strCache>
                <c:ptCount val="1"/>
                <c:pt idx="0">
                  <c:v>LEAP</c:v>
                </c:pt>
              </c:strCache>
            </c:strRef>
          </c:tx>
          <c:spPr>
            <a:solidFill>
              <a:schemeClr val="accent4">
                <a:lumMod val="60000"/>
                <a:alpha val="85000"/>
              </a:schemeClr>
            </a:solidFill>
            <a:ln w="9525" cap="flat" cmpd="sng" algn="ctr">
              <a:solidFill>
                <a:schemeClr val="accent4">
                  <a:lumMod val="60000"/>
                  <a:lumMod val="75000"/>
                </a:schemeClr>
              </a:solidFill>
              <a:round/>
            </a:ln>
            <a:effectLst/>
            <a:sp3d contourW="9525">
              <a:contourClr>
                <a:schemeClr val="accent4">
                  <a:lumMod val="6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Sheet1!$F$17:$J$17</c:f>
              <c:numCache>
                <c:formatCode>#,##0.00</c:formatCode>
                <c:ptCount val="5"/>
                <c:pt idx="0">
                  <c:v>174528</c:v>
                </c:pt>
                <c:pt idx="1">
                  <c:v>40896</c:v>
                </c:pt>
                <c:pt idx="2" c:formatCode="#,##0">
                  <c:v>251808</c:v>
                </c:pt>
                <c:pt idx="3">
                  <c:v>46200</c:v>
                </c:pt>
                <c:pt idx="4">
                  <c:v>46200</c:v>
                </c:pt>
              </c:numCache>
            </c:numRef>
          </c:val>
        </c:ser>
        <c:ser>
          <c:idx val="10"/>
          <c:order val="10"/>
          <c:tx>
            <c:strRef>
              <c:f>Sheet1!$E$18</c:f>
              <c:strCache>
                <c:ptCount val="1"/>
                <c:pt idx="0">
                  <c:v>MP-SIP</c:v>
                </c:pt>
              </c:strCache>
            </c:strRef>
          </c:tx>
          <c:spPr>
            <a:solidFill>
              <a:schemeClr val="accent5">
                <a:lumMod val="60000"/>
                <a:alpha val="85000"/>
              </a:schemeClr>
            </a:solidFill>
            <a:ln w="9525" cap="flat" cmpd="sng" algn="ctr">
              <a:solidFill>
                <a:schemeClr val="accent5">
                  <a:lumMod val="60000"/>
                  <a:lumMod val="75000"/>
                </a:schemeClr>
              </a:solidFill>
              <a:round/>
            </a:ln>
            <a:effectLst/>
            <a:sp3d contourW="9525">
              <a:contourClr>
                <a:schemeClr val="accent5">
                  <a:lumMod val="6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Sheet1!$F$18:$J$18</c:f>
              <c:numCache>
                <c:formatCode>General</c:formatCode>
                <c:ptCount val="5"/>
                <c:pt idx="0">
                  <c:v>0</c:v>
                </c:pt>
                <c:pt idx="1" c:formatCode="#,##0.00">
                  <c:v>60000</c:v>
                </c:pt>
                <c:pt idx="2">
                  <c:v>0</c:v>
                </c:pt>
                <c:pt idx="3">
                  <c:v>0</c:v>
                </c:pt>
                <c:pt idx="4">
                  <c:v>0</c:v>
                </c:pt>
              </c:numCache>
            </c:numRef>
          </c:val>
        </c:ser>
        <c:ser>
          <c:idx val="11"/>
          <c:order val="11"/>
          <c:tx>
            <c:strRef>
              <c:f>Sheet1!$E$19</c:f>
              <c:strCache>
                <c:ptCount val="1"/>
                <c:pt idx="0">
                  <c:v>OTHERS (MAG)</c:v>
                </c:pt>
              </c:strCache>
            </c:strRef>
          </c:tx>
          <c:spPr>
            <a:solidFill>
              <a:schemeClr val="accent6">
                <a:lumMod val="60000"/>
                <a:alpha val="85000"/>
              </a:schemeClr>
            </a:solidFill>
            <a:ln w="9525" cap="flat" cmpd="sng" algn="ctr">
              <a:solidFill>
                <a:schemeClr val="accent6">
                  <a:lumMod val="60000"/>
                  <a:lumMod val="75000"/>
                </a:schemeClr>
              </a:solidFill>
              <a:round/>
            </a:ln>
            <a:effectLst/>
            <a:sp3d contourW="9525">
              <a:contourClr>
                <a:schemeClr val="accent6">
                  <a:lumMod val="6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Sheet1!$F$19:$J$19</c:f>
              <c:numCache>
                <c:formatCode>General</c:formatCode>
                <c:ptCount val="5"/>
                <c:pt idx="0">
                  <c:v>0</c:v>
                </c:pt>
                <c:pt idx="1" c:formatCode="#,##0.00">
                  <c:v>300000</c:v>
                </c:pt>
                <c:pt idx="2">
                  <c:v>0</c:v>
                </c:pt>
                <c:pt idx="3" c:formatCode="#,##0.00">
                  <c:v>300000</c:v>
                </c:pt>
                <c:pt idx="4">
                  <c:v>0</c:v>
                </c:pt>
              </c:numCache>
            </c:numRef>
          </c:val>
        </c:ser>
        <c:ser>
          <c:idx val="12"/>
          <c:order val="12"/>
          <c:tx>
            <c:strRef>
              <c:f>Sheet1!$E$20</c:f>
              <c:strCache>
                <c:ptCount val="1"/>
                <c:pt idx="0">
                  <c:v>TOTAL</c:v>
                </c:pt>
              </c:strCache>
            </c:strRef>
          </c:tx>
          <c:spPr>
            <a:solidFill>
              <a:schemeClr val="accent1">
                <a:lumMod val="80000"/>
                <a:lumOff val="20000"/>
                <a:alpha val="85000"/>
              </a:schemeClr>
            </a:solidFill>
            <a:ln w="9525" cap="flat" cmpd="sng" algn="ctr">
              <a:solidFill>
                <a:schemeClr val="accent1">
                  <a:lumMod val="80000"/>
                  <a:lumOff val="20000"/>
                  <a:lumMod val="75000"/>
                </a:schemeClr>
              </a:solidFill>
              <a:round/>
            </a:ln>
            <a:effectLst/>
            <a:sp3d contourW="9525">
              <a:contourClr>
                <a:schemeClr val="accent1">
                  <a:lumMod val="80000"/>
                  <a:lumOff val="20000"/>
                  <a:lumMod val="75000"/>
                </a:schemeClr>
              </a:contourClr>
            </a:sp3d>
          </c:spPr>
          <c:invertIfNegative val="0"/>
          <c:dLbls>
            <c:delete val="1"/>
          </c:dLbls>
          <c:cat>
            <c:strRef>
              <c:f>Sheet1!$F$6:$J$7</c:f>
              <c:strCache>
                <c:ptCount val="5"/>
                <c:pt idx="0">
                  <c:v>BASELINE 2024</c:v>
                </c:pt>
                <c:pt idx="1">
                  <c:v>TARGET 2025</c:v>
                </c:pt>
                <c:pt idx="2">
                  <c:v>ACTUAL 2025</c:v>
                </c:pt>
                <c:pt idx="3">
                  <c:v>TARGET 2026</c:v>
                </c:pt>
                <c:pt idx="4">
                  <c:v>1ST QUARTER 2026</c:v>
                </c:pt>
              </c:strCache>
            </c:strRef>
          </c:cat>
          <c:val>
            <c:numRef>
              <c:f>Sheet1!$F$20:$J$20</c:f>
              <c:numCache>
                <c:formatCode>#,##0.00</c:formatCode>
                <c:ptCount val="5"/>
                <c:pt idx="0">
                  <c:v>26527936.31</c:v>
                </c:pt>
                <c:pt idx="1">
                  <c:v>14714742.38</c:v>
                </c:pt>
                <c:pt idx="2">
                  <c:v>24279909.35</c:v>
                </c:pt>
                <c:pt idx="3">
                  <c:v>58093055.56</c:v>
                </c:pt>
                <c:pt idx="4">
                  <c:v>8139908.36</c:v>
                </c:pt>
              </c:numCache>
            </c:numRef>
          </c:val>
        </c:ser>
        <c:dLbls>
          <c:showLegendKey val="0"/>
          <c:showVal val="0"/>
          <c:showCatName val="0"/>
          <c:showSerName val="0"/>
          <c:showPercent val="0"/>
          <c:showBubbleSize val="0"/>
        </c:dLbls>
        <c:gapWidth val="65"/>
        <c:axId val="1303694623"/>
        <c:axId val="1303692127"/>
      </c:barChart>
      <c:catAx>
        <c:axId val="130369462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p>
        </c:txPr>
        <c:crossAx val="1303692127"/>
        <c:crosses val="autoZero"/>
        <c:auto val="1"/>
        <c:lblAlgn val="ctr"/>
        <c:lblOffset val="100"/>
        <c:noMultiLvlLbl val="0"/>
      </c:catAx>
      <c:valAx>
        <c:axId val="1303692127"/>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crossAx val="1303694623"/>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60cbb454-953b-4da7-9bf0-a7f43fd71ffd}"/>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800" b="1" i="0" u="none" strike="noStrike" kern="1200" baseline="0">
                <a:solidFill>
                  <a:sysClr val="windowText" lastClr="000000">
                    <a:lumMod val="75000"/>
                    <a:lumOff val="25000"/>
                  </a:sysClr>
                </a:solidFill>
                <a:latin typeface="+mn-lt"/>
                <a:ea typeface="+mn-ea"/>
                <a:cs typeface="+mn-cs"/>
              </a:defRPr>
            </a:pPr>
            <a:r>
              <a:rPr lang="en-US" sz="1800" b="1" i="0" baseline="0">
                <a:effectLst/>
              </a:rPr>
              <a:t>UPDATE ON THE ASSEMBLY'S EXPENDITURE AS AT FIRST QUARTER 2026</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defRPr lang="en-US" sz="1800" b="1" i="0" u="none" strike="noStrike" kern="1200" baseline="0">
                <a:solidFill>
                  <a:sysClr val="windowText" lastClr="000000">
                    <a:lumMod val="75000"/>
                    <a:lumOff val="25000"/>
                  </a:sysClr>
                </a:solidFill>
                <a:latin typeface="+mn-lt"/>
                <a:ea typeface="+mn-ea"/>
                <a:cs typeface="+mn-cs"/>
              </a:defRPr>
            </a:pPr>
            <a:endParaRPr lang="en-US"/>
          </a:p>
        </c:rich>
      </c:tx>
      <c:layout/>
      <c:overlay val="0"/>
      <c:spPr>
        <a:noFill/>
        <a:ln>
          <a:noFill/>
        </a:ln>
        <a:effectLst/>
      </c:spPr>
    </c:title>
    <c:autoTitleDeleted val="0"/>
    <c:plotArea>
      <c:layout/>
      <c:barChart>
        <c:barDir val="col"/>
        <c:grouping val="clustered"/>
        <c:varyColors val="0"/>
        <c:ser>
          <c:idx val="0"/>
          <c:order val="0"/>
          <c:tx>
            <c:strRef>
              <c:f>Sheet1!$E$31</c:f>
              <c:strCache>
                <c:ptCount val="1"/>
                <c:pt idx="0">
                  <c:v>GOG &amp; IGF COMPENSATION</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elete val="1"/>
          </c:dLbls>
          <c:cat>
            <c:strRef>
              <c:f>Sheet1!$F$29:$J$30</c:f>
              <c:strCache>
                <c:ptCount val="5"/>
                <c:pt idx="0">
                  <c:v>BASELINE 2024</c:v>
                </c:pt>
                <c:pt idx="1">
                  <c:v>TARGET 2025</c:v>
                </c:pt>
                <c:pt idx="2">
                  <c:v>ACTUAL 2025</c:v>
                </c:pt>
                <c:pt idx="3">
                  <c:v>TARGET 2026</c:v>
                </c:pt>
                <c:pt idx="4">
                  <c:v>QUARTERLY PERFORMANCE</c:v>
                </c:pt>
              </c:strCache>
            </c:strRef>
          </c:cat>
          <c:val>
            <c:numRef>
              <c:f>Sheet1!$F$31:$J$31</c:f>
              <c:numCache>
                <c:formatCode>#,##0.00</c:formatCode>
                <c:ptCount val="5"/>
                <c:pt idx="0">
                  <c:v>7345132.07</c:v>
                </c:pt>
                <c:pt idx="1">
                  <c:v>9071939.06</c:v>
                </c:pt>
                <c:pt idx="2" c:formatCode="General">
                  <c:v>0</c:v>
                </c:pt>
                <c:pt idx="3">
                  <c:v>11589270.2</c:v>
                </c:pt>
                <c:pt idx="4">
                  <c:v>2828077.54</c:v>
                </c:pt>
              </c:numCache>
            </c:numRef>
          </c:val>
        </c:ser>
        <c:ser>
          <c:idx val="1"/>
          <c:order val="1"/>
          <c:tx>
            <c:strRef>
              <c:f>Sheet1!$E$32</c:f>
              <c:strCache>
                <c:ptCount val="1"/>
                <c:pt idx="0">
                  <c:v>GOODS AND SERVICE</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elete val="1"/>
          </c:dLbls>
          <c:cat>
            <c:strRef>
              <c:f>Sheet1!$F$29:$J$30</c:f>
              <c:strCache>
                <c:ptCount val="5"/>
                <c:pt idx="0">
                  <c:v>BASELINE 2024</c:v>
                </c:pt>
                <c:pt idx="1">
                  <c:v>TARGET 2025</c:v>
                </c:pt>
                <c:pt idx="2">
                  <c:v>ACTUAL 2025</c:v>
                </c:pt>
                <c:pt idx="3">
                  <c:v>TARGET 2026</c:v>
                </c:pt>
                <c:pt idx="4">
                  <c:v>QUARTERLY PERFORMANCE</c:v>
                </c:pt>
              </c:strCache>
            </c:strRef>
          </c:cat>
          <c:val>
            <c:numRef>
              <c:f>Sheet1!$F$32:$J$32</c:f>
              <c:numCache>
                <c:formatCode>#,##0.00</c:formatCode>
                <c:ptCount val="5"/>
                <c:pt idx="0">
                  <c:v>6893111.34</c:v>
                </c:pt>
                <c:pt idx="1">
                  <c:v>7980666</c:v>
                </c:pt>
                <c:pt idx="2">
                  <c:v>33962864</c:v>
                </c:pt>
                <c:pt idx="3">
                  <c:v>20551710.09</c:v>
                </c:pt>
                <c:pt idx="4">
                  <c:v>2976875.86</c:v>
                </c:pt>
              </c:numCache>
            </c:numRef>
          </c:val>
        </c:ser>
        <c:ser>
          <c:idx val="2"/>
          <c:order val="2"/>
          <c:tx>
            <c:strRef>
              <c:f>Sheet1!$E$33</c:f>
              <c:strCache>
                <c:ptCount val="1"/>
                <c:pt idx="0">
                  <c:v>ASSETS/INVESTMENTS</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elete val="1"/>
          </c:dLbls>
          <c:cat>
            <c:strRef>
              <c:f>Sheet1!$F$29:$J$30</c:f>
              <c:strCache>
                <c:ptCount val="5"/>
                <c:pt idx="0">
                  <c:v>BASELINE 2024</c:v>
                </c:pt>
                <c:pt idx="1">
                  <c:v>TARGET 2025</c:v>
                </c:pt>
                <c:pt idx="2">
                  <c:v>ACTUAL 2025</c:v>
                </c:pt>
                <c:pt idx="3">
                  <c:v>TARGET 2026</c:v>
                </c:pt>
                <c:pt idx="4">
                  <c:v>QUARTERLY PERFORMANCE</c:v>
                </c:pt>
              </c:strCache>
            </c:strRef>
          </c:cat>
          <c:val>
            <c:numRef>
              <c:f>Sheet1!$F$33:$J$33</c:f>
              <c:numCache>
                <c:formatCode>#,##0.00</c:formatCode>
                <c:ptCount val="5"/>
                <c:pt idx="0">
                  <c:v>7449370.05</c:v>
                </c:pt>
                <c:pt idx="1">
                  <c:v>5056696</c:v>
                </c:pt>
                <c:pt idx="2" c:formatCode="General">
                  <c:v>0</c:v>
                </c:pt>
                <c:pt idx="3">
                  <c:v>26560362.91</c:v>
                </c:pt>
                <c:pt idx="4">
                  <c:v>5334017.77</c:v>
                </c:pt>
              </c:numCache>
            </c:numRef>
          </c:val>
        </c:ser>
        <c:ser>
          <c:idx val="3"/>
          <c:order val="3"/>
          <c:tx>
            <c:strRef>
              <c:f>Sheet1!$E$34</c:f>
              <c:strCache>
                <c:ptCount val="1"/>
                <c:pt idx="0">
                  <c:v>TOTAL</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elete val="1"/>
          </c:dLbls>
          <c:cat>
            <c:strRef>
              <c:f>Sheet1!$F$29:$J$30</c:f>
              <c:strCache>
                <c:ptCount val="5"/>
                <c:pt idx="0">
                  <c:v>BASELINE 2024</c:v>
                </c:pt>
                <c:pt idx="1">
                  <c:v>TARGET 2025</c:v>
                </c:pt>
                <c:pt idx="2">
                  <c:v>ACTUAL 2025</c:v>
                </c:pt>
                <c:pt idx="3">
                  <c:v>TARGET 2026</c:v>
                </c:pt>
                <c:pt idx="4">
                  <c:v>QUARTERLY PERFORMANCE</c:v>
                </c:pt>
              </c:strCache>
            </c:strRef>
          </c:cat>
          <c:val>
            <c:numRef>
              <c:f>Sheet1!$F$34:$J$34</c:f>
              <c:numCache>
                <c:formatCode>#,##0.00</c:formatCode>
                <c:ptCount val="5"/>
                <c:pt idx="0">
                  <c:v>21313233.67</c:v>
                </c:pt>
                <c:pt idx="1">
                  <c:v>22109301.06</c:v>
                </c:pt>
                <c:pt idx="2" c:formatCode="#,##0">
                  <c:v>33962864</c:v>
                </c:pt>
                <c:pt idx="3">
                  <c:v>58701343.2</c:v>
                </c:pt>
                <c:pt idx="4">
                  <c:v>11138971.17</c:v>
                </c:pt>
              </c:numCache>
            </c:numRef>
          </c:val>
        </c:ser>
        <c:dLbls>
          <c:showLegendKey val="0"/>
          <c:showVal val="0"/>
          <c:showCatName val="0"/>
          <c:showSerName val="0"/>
          <c:showPercent val="0"/>
          <c:showBubbleSize val="0"/>
        </c:dLbls>
        <c:gapWidth val="65"/>
        <c:axId val="1356743935"/>
        <c:axId val="1356742271"/>
      </c:barChart>
      <c:catAx>
        <c:axId val="13567439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p>
        </c:txPr>
        <c:crossAx val="1356742271"/>
        <c:crosses val="autoZero"/>
        <c:auto val="1"/>
        <c:lblAlgn val="ctr"/>
        <c:lblOffset val="100"/>
        <c:noMultiLvlLbl val="0"/>
      </c:catAx>
      <c:valAx>
        <c:axId val="135674227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crossAx val="1356743935"/>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c824861b-3f1b-49df-a615-350f048ae42d}"/>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C16A3DF73024C5696AE76A0F50005CB"/>
        <w:style w:val=""/>
        <w:category>
          <w:name w:val="General"/>
          <w:gallery w:val="placeholder"/>
        </w:category>
        <w:types>
          <w:type w:val="bbPlcHdr"/>
        </w:types>
        <w:behaviors>
          <w:behavior w:val="content"/>
        </w:behaviors>
        <w:description w:val=""/>
        <w:guid w:val="{32B01615-E67D-4BCE-BD9E-020814490922}"/>
      </w:docPartPr>
      <w:docPartBody>
        <w:p w14:paraId="3FE3DCF2">
          <w:pPr>
            <w:pStyle w:val="5"/>
          </w:pPr>
          <w:r>
            <w:rPr>
              <w:rStyle w:val="4"/>
            </w:rPr>
            <w:t>[Author]</w:t>
          </w:r>
        </w:p>
      </w:docPartBody>
    </w:docPart>
    <w:docPart>
      <w:docPartPr>
        <w:name w:val="C9B5446D33384745B3DE52829D4FF71B"/>
        <w:style w:val=""/>
        <w:category>
          <w:name w:val="General"/>
          <w:gallery w:val="placeholder"/>
        </w:category>
        <w:types>
          <w:type w:val="bbPlcHdr"/>
        </w:types>
        <w:behaviors>
          <w:behavior w:val="content"/>
        </w:behaviors>
        <w:description w:val=""/>
        <w:guid w:val="{3D953684-70FA-4E3C-9E59-330FCE8E0A4C}"/>
      </w:docPartPr>
      <w:docPartBody>
        <w:p w14:paraId="329A756F">
          <w:pPr>
            <w:pStyle w:val="6"/>
          </w:pPr>
          <w:r>
            <w:rPr>
              <w:rStyle w:val="4"/>
            </w:rPr>
            <w:t>[Author]</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36"/>
    <w:rsid w:val="0005778A"/>
    <w:rsid w:val="00155F91"/>
    <w:rsid w:val="0017254B"/>
    <w:rsid w:val="001A1249"/>
    <w:rsid w:val="00467B7C"/>
    <w:rsid w:val="005632DD"/>
    <w:rsid w:val="00823836"/>
    <w:rsid w:val="00863135"/>
    <w:rsid w:val="00AF0C17"/>
    <w:rsid w:val="00D20D3E"/>
    <w:rsid w:val="00EA4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C16A3DF73024C5696AE76A0F50005CB"/>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 w:type="paragraph" w:customStyle="1" w:styleId="6">
    <w:name w:val="C9B5446D33384745B3DE52829D4FF71B"/>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1C37FA-2844-4BC4-AF1D-0553DE9FA31E}">
  <ds:schemaRefs/>
</ds:datastoreItem>
</file>

<file path=docProps/app.xml><?xml version="1.0" encoding="utf-8"?>
<Properties xmlns="http://schemas.openxmlformats.org/officeDocument/2006/extended-properties" xmlns:vt="http://schemas.openxmlformats.org/officeDocument/2006/docPropsVTypes">
  <Template>Normal</Template>
  <Pages>100</Pages>
  <Words>340</Words>
  <Characters>1862</Characters>
  <Lines>1160</Lines>
  <Paragraphs>326</Paragraphs>
  <TotalTime>3420</TotalTime>
  <ScaleCrop>false</ScaleCrop>
  <LinksUpToDate>false</LinksUpToDate>
  <CharactersWithSpaces>2276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2026-05-17T11:52:00Z</dcterms:created>
  <dc:creator>BNDA 1ST QTR PROGRESS REPORT 2026</dc:creator>
  <cp:lastModifiedBy>Esther Amenfua</cp:lastModifiedBy>
  <cp:lastPrinted>2026-05-05T10:42:00Z</cp:lastPrinted>
  <dcterms:modified xsi:type="dcterms:W3CDTF">2026-08-31T17:08:34Z</dcterms:modified>
  <cp:revision>561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0f3a6e3e-0fd7-4a4e-965c-6b1a60b33b91</vt:lpwstr>
  </property>
  <property fmtid="{D5CDD505-2E9C-101B-9397-08002B2CF9AE}" pid="3" name="KSOTemplateDocerSaveRecord">
    <vt:lpwstr>eyJoZGlkIjoiMWMxYTBmM2ExNDA5MTI5NmEwNjA4YTk5MmRmY2Y2MzgiLCJ1c2VySWQiOiIxNjA5Nzg2OTA5NzM0NCJ9</vt:lpwstr>
  </property>
  <property fmtid="{D5CDD505-2E9C-101B-9397-08002B2CF9AE}" pid="4" name="KSOProductBuildVer">
    <vt:lpwstr>1033-12.1.0.28032</vt:lpwstr>
  </property>
  <property fmtid="{D5CDD505-2E9C-101B-9397-08002B2CF9AE}" pid="5" name="ICV">
    <vt:lpwstr>0EC7C5DC257B4CBA98FFA8B6237AC010_12</vt:lpwstr>
  </property>
</Properties>
</file>